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“绿绘童梦•碳启新境”——“低碳“背景下南昌市某幼儿园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433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业主单位：江西兆玺房地产开发有限公司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设计单位：江西省建筑设计研究总院集团有限公司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咨询单位：江西省建筑设计研究总院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项目地址：南昌市云锦路999号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项目名称：“绿绘童梦•碳启新境”——“低碳“背景下南昌市某幼儿园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围护结构提高6%或负荷降低4%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应用比例23%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全寿命期单位建筑面积碳排放强为31.43kgCO2/（m2·a）减碳率18.5%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