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一轴一带——基于绿色建筑理念的医院设计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4753635" cy="350569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3635" cy="3505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项目名称：一轴一带——基于绿色建筑理念的医院设计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应用比例40%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全寿命期单位建筑面积碳排放强为20kgCO2/（m2·a）减碳率20%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918.0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