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4"/>
        </w:rPr>
      </w:pPr>
      <w:bookmarkStart w:id="82" w:name="_GoBack"/>
      <w:bookmarkEnd w:id="82"/>
    </w:p>
    <w:p>
      <w:pPr>
        <w:spacing w:before="312" w:beforeLines="100" w:line="24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0" w:name="_Toc480186059"/>
      <w:bookmarkStart w:id="1" w:name="_Toc480186121"/>
      <w:r>
        <w:rPr>
          <w:rFonts w:hint="eastAsia" w:ascii="黑体" w:hAnsi="宋体" w:eastAsia="黑体"/>
          <w:b/>
          <w:bCs/>
          <w:sz w:val="72"/>
          <w:szCs w:val="72"/>
        </w:rPr>
        <w:t>防潮验算计算书</w:t>
      </w:r>
      <w:bookmarkEnd w:id="0"/>
      <w:bookmarkEnd w:id="1"/>
    </w:p>
    <w:p>
      <w:pPr>
        <w:spacing w:before="312" w:beforeLines="100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2" w:name="地区"/>
      <w:r>
        <w:rPr>
          <w:rFonts w:hint="eastAsia" w:ascii="宋体" w:hAnsi="宋体"/>
          <w:bCs/>
          <w:sz w:val="44"/>
          <w:szCs w:val="44"/>
        </w:rPr>
        <w:t>公共建筑</w:t>
      </w:r>
      <w:bookmarkEnd w:id="2"/>
    </w:p>
    <w:p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Style w:val="2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3" w:name="项目名称"/>
            <w:r>
              <w:t>新建项目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地理位置"/>
            <w:r>
              <w:t>河南-焦作</w:t>
            </w:r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设计编号"/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建设单位"/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设计单位"/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8" w:name="报告日期"/>
            <w:r>
              <w:rPr>
                <w:rFonts w:hint="eastAsia" w:ascii="宋体" w:hAnsi="宋体"/>
                <w:szCs w:val="21"/>
              </w:rPr>
              <w:t>2025年2月20日</w:t>
            </w:r>
            <w:bookmarkEnd w:id="8"/>
          </w:p>
        </w:tc>
      </w:tr>
    </w:tbl>
    <w:p>
      <w:pPr>
        <w:jc w:val="center"/>
        <w:rPr>
          <w:rFonts w:ascii="宋体" w:hAnsi="宋体"/>
          <w:sz w:val="18"/>
          <w:szCs w:val="18"/>
        </w:rPr>
      </w:pPr>
    </w:p>
    <w:p>
      <w:pPr>
        <w:jc w:val="center"/>
        <w:rPr>
          <w:rFonts w:ascii="宋体" w:hAnsi="宋体"/>
          <w:b/>
          <w:bCs/>
          <w:sz w:val="18"/>
          <w:szCs w:val="18"/>
        </w:rPr>
      </w:pPr>
      <w:bookmarkStart w:id="9" w:name="二维码"/>
      <w:bookmarkEnd w:id="9"/>
      <w:r>
        <w:drawing>
          <wp:inline distT="0" distB="0" distL="0" distR="0">
            <wp:extent cx="1514475" cy="1514475"/>
            <wp:effectExtent l="0" t="0" r="0" b="0"/>
            <wp:docPr id="75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7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/>
          <w:b/>
          <w:bCs/>
          <w:sz w:val="18"/>
          <w:szCs w:val="18"/>
        </w:rPr>
      </w:pPr>
    </w:p>
    <w:tbl>
      <w:tblPr>
        <w:tblStyle w:val="20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spacing w:line="240" w:lineRule="atLeast"/>
              <w:rPr>
                <w:rFonts w:ascii="宋体" w:hAnsi="宋体"/>
              </w:rPr>
            </w:pPr>
            <w:bookmarkStart w:id="10" w:name="软件全称"/>
            <w:r>
              <w:t>斯维尔节能设计Becs2024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2" w:name="加密锁号"/>
            <w:r>
              <w:rPr>
                <w:rFonts w:hint="eastAsia" w:ascii="宋体" w:hAnsi="宋体"/>
                <w:szCs w:val="18"/>
              </w:rPr>
              <w:t>T18203604180</w:t>
            </w:r>
            <w:bookmarkEnd w:id="12"/>
          </w:p>
        </w:tc>
      </w:tr>
    </w:tbl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>
      <w:pPr>
        <w:spacing w:line="240" w:lineRule="atLeas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目  录</w:t>
      </w:r>
    </w:p>
    <w:p>
      <w:pPr>
        <w:pStyle w:val="17"/>
        <w:tabs>
          <w:tab w:val="left" w:pos="420"/>
          <w:tab w:val="right" w:leader="dot" w:pos="9010"/>
        </w:tabs>
      </w:pPr>
    </w:p>
    <w:p>
      <w:pPr>
        <w:pStyle w:val="16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7"/>
        <w:tabs>
          <w:tab w:val="right" w:leader="dot" w:pos="9026"/>
        </w:tabs>
      </w:pPr>
      <w:r>
        <w:rPr>
          <w:rFonts w:ascii="宋体" w:hAnsi="宋体"/>
          <w:b w:val="0"/>
          <w:bCs/>
          <w:caps/>
        </w:rPr>
        <w:fldChar w:fldCharType="begin"/>
      </w:r>
      <w:r>
        <w:rPr>
          <w:rFonts w:ascii="宋体" w:hAnsi="宋体"/>
          <w:b w:val="0"/>
          <w:caps/>
        </w:rPr>
        <w:instrText xml:space="preserve"> TOC \o "2-2" \f \h \z \t "标题 1,1" </w:instrText>
      </w:r>
      <w:r>
        <w:rPr>
          <w:rFonts w:ascii="宋体" w:hAnsi="宋体"/>
          <w:b w:val="0"/>
          <w:bCs/>
          <w:caps/>
        </w:rPr>
        <w:fldChar w:fldCharType="separate"/>
      </w: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_Toc17827 </w:instrText>
      </w:r>
      <w:r>
        <w:rPr>
          <w:rFonts w:ascii="宋体" w:hAnsi="宋体"/>
          <w:bCs/>
          <w:caps/>
        </w:rPr>
        <w:fldChar w:fldCharType="separate"/>
      </w:r>
      <w:r>
        <w:t xml:space="preserve">1 </w:t>
      </w:r>
      <w:r>
        <w:rPr>
          <w:rFonts w:hint="eastAsia"/>
        </w:rPr>
        <w:t>建筑概况</w:t>
      </w:r>
      <w:r>
        <w:tab/>
      </w:r>
      <w:r>
        <w:fldChar w:fldCharType="begin"/>
      </w:r>
      <w:r>
        <w:instrText xml:space="preserve"> PAGEREF _Toc17827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>
      <w:pPr>
        <w:pStyle w:val="17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_Toc20507 </w:instrText>
      </w:r>
      <w:r>
        <w:rPr>
          <w:rFonts w:ascii="宋体" w:hAnsi="宋体"/>
          <w:bCs/>
          <w:caps/>
        </w:rPr>
        <w:fldChar w:fldCharType="separate"/>
      </w:r>
      <w:r>
        <w:t xml:space="preserve">2 </w:t>
      </w:r>
      <w:r>
        <w:rPr>
          <w:rFonts w:hint="eastAsia"/>
        </w:rPr>
        <w:t>评价依据</w:t>
      </w:r>
      <w:r>
        <w:tab/>
      </w:r>
      <w:r>
        <w:fldChar w:fldCharType="begin"/>
      </w:r>
      <w:r>
        <w:instrText xml:space="preserve"> PAGEREF _Toc20507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_Toc3307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2.1 </w:t>
      </w:r>
      <w:r>
        <w:rPr>
          <w:rFonts w:hint="eastAsia"/>
          <w:kern w:val="2"/>
        </w:rPr>
        <w:t>评价目标</w:t>
      </w:r>
      <w:r>
        <w:tab/>
      </w:r>
      <w:r>
        <w:fldChar w:fldCharType="begin"/>
      </w:r>
      <w:r>
        <w:instrText xml:space="preserve"> PAGEREF _Toc3307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_Toc9987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2.2 </w:t>
      </w:r>
      <w:r>
        <w:rPr>
          <w:rFonts w:hint="eastAsia"/>
          <w:kern w:val="2"/>
        </w:rPr>
        <w:t>评价方法</w:t>
      </w:r>
      <w:r>
        <w:tab/>
      </w:r>
      <w:r>
        <w:fldChar w:fldCharType="begin"/>
      </w:r>
      <w:r>
        <w:instrText xml:space="preserve"> PAGEREF _Toc9987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>
      <w:pPr>
        <w:pStyle w:val="17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_Toc30607 </w:instrText>
      </w:r>
      <w:r>
        <w:rPr>
          <w:rFonts w:ascii="宋体" w:hAnsi="宋体"/>
          <w:bCs/>
          <w:caps/>
        </w:rPr>
        <w:fldChar w:fldCharType="separate"/>
      </w:r>
      <w:r>
        <w:t xml:space="preserve">3 </w:t>
      </w:r>
      <w:r>
        <w:rPr>
          <w:rFonts w:hint="eastAsia"/>
        </w:rPr>
        <w:t>防潮验算</w:t>
      </w:r>
      <w:r>
        <w:t>计算过程</w:t>
      </w:r>
      <w:r>
        <w:tab/>
      </w:r>
      <w:r>
        <w:fldChar w:fldCharType="begin"/>
      </w:r>
      <w:r>
        <w:instrText xml:space="preserve"> PAGEREF _Toc30607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_Toc14367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3.1 </w:t>
      </w:r>
      <w:r>
        <w:rPr>
          <w:rFonts w:hint="eastAsia"/>
          <w:kern w:val="2"/>
        </w:rPr>
        <w:t>计算条件</w:t>
      </w:r>
      <w:r>
        <w:tab/>
      </w:r>
      <w:r>
        <w:fldChar w:fldCharType="begin"/>
      </w:r>
      <w:r>
        <w:instrText xml:space="preserve"> PAGEREF _Toc14367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_Toc29635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3.2 </w:t>
      </w:r>
      <w:r>
        <w:rPr>
          <w:rFonts w:hint="eastAsia"/>
          <w:kern w:val="2"/>
        </w:rPr>
        <w:t>屋顶构造：屋顶构造一砼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r>
        <w:tab/>
      </w:r>
      <w:r>
        <w:fldChar w:fldCharType="begin"/>
      </w:r>
      <w:r>
        <w:instrText xml:space="preserve"> PAGEREF _Toc29635 \h </w:instrText>
      </w:r>
      <w:r>
        <w:fldChar w:fldCharType="separate"/>
      </w:r>
      <w:r>
        <w:t>5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_Toc19725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3.3 </w:t>
      </w:r>
      <w:r>
        <w:rPr>
          <w:rFonts w:hint="eastAsia"/>
          <w:kern w:val="2"/>
        </w:rPr>
        <w:t>外墙（填充墙）构造：外墙构造一砼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r>
        <w:tab/>
      </w:r>
      <w:r>
        <w:fldChar w:fldCharType="begin"/>
      </w:r>
      <w:r>
        <w:instrText xml:space="preserve"> PAGEREF _Toc19725 \h </w:instrText>
      </w:r>
      <w:r>
        <w:fldChar w:fldCharType="separate"/>
      </w:r>
      <w:r>
        <w:t>6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>
      <w:pPr>
        <w:pStyle w:val="17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_Toc20476 </w:instrText>
      </w:r>
      <w:r>
        <w:rPr>
          <w:rFonts w:ascii="宋体" w:hAnsi="宋体"/>
          <w:bCs/>
          <w:caps/>
        </w:rPr>
        <w:fldChar w:fldCharType="separate"/>
      </w:r>
      <w:r>
        <w:t>4 验算结论</w:t>
      </w:r>
      <w:r>
        <w:tab/>
      </w:r>
      <w:r>
        <w:fldChar w:fldCharType="begin"/>
      </w:r>
      <w:r>
        <w:instrText xml:space="preserve"> PAGEREF _Toc20476 \h </w:instrText>
      </w:r>
      <w:r>
        <w:fldChar w:fldCharType="separate"/>
      </w:r>
      <w:r>
        <w:t>8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>
      <w:pPr>
        <w:pStyle w:val="16"/>
        <w:pBdr>
          <w:bottom w:val="none" w:color="auto" w:sz="0" w:space="0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  <w:r>
        <w:rPr>
          <w:rFonts w:ascii="宋体" w:hAnsi="宋体"/>
          <w:bCs/>
          <w:caps/>
        </w:rPr>
        <w:fldChar w:fldCharType="end"/>
      </w:r>
    </w:p>
    <w:p>
      <w:pPr>
        <w:pStyle w:val="16"/>
        <w:pBdr>
          <w:bottom w:val="none" w:color="auto" w:sz="0" w:space="0"/>
        </w:pBdr>
        <w:tabs>
          <w:tab w:val="clear" w:pos="4153"/>
          <w:tab w:val="clear" w:pos="8306"/>
        </w:tabs>
        <w:snapToGrid/>
        <w:spacing w:line="240" w:lineRule="atLeast"/>
        <w:jc w:val="both"/>
        <w:rPr>
          <w:rFonts w:ascii="宋体" w:hAnsi="宋体"/>
          <w:szCs w:val="20"/>
        </w:rPr>
      </w:pPr>
      <w:r>
        <w:rPr>
          <w:rFonts w:ascii="宋体" w:hAnsi="宋体"/>
          <w:szCs w:val="20"/>
        </w:rPr>
        <w:br w:type="page"/>
      </w:r>
    </w:p>
    <w:p>
      <w:pPr>
        <w:pStyle w:val="2"/>
        <w:spacing w:line="240" w:lineRule="atLeast"/>
      </w:pPr>
      <w:bookmarkStart w:id="13" w:name="_Toc316568035"/>
      <w:bookmarkStart w:id="14" w:name="_Toc480186060"/>
      <w:bookmarkStart w:id="15" w:name="_Toc480218444"/>
      <w:bookmarkStart w:id="16" w:name="_Toc480186122"/>
      <w:bookmarkStart w:id="17" w:name="_Toc155690474"/>
      <w:bookmarkStart w:id="18" w:name="_Toc17827"/>
      <w:r>
        <w:rPr>
          <w:rFonts w:hint="eastAsia"/>
        </w:rPr>
        <w:t>建筑概况</w:t>
      </w:r>
      <w:bookmarkEnd w:id="13"/>
      <w:bookmarkEnd w:id="14"/>
      <w:bookmarkEnd w:id="15"/>
      <w:bookmarkEnd w:id="16"/>
      <w:bookmarkEnd w:id="17"/>
      <w:bookmarkEnd w:id="18"/>
    </w:p>
    <w:tbl>
      <w:tblPr>
        <w:tblStyle w:val="20"/>
        <w:tblW w:w="4885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9"/>
        <w:gridCol w:w="62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bookmarkStart w:id="19" w:name="建筑概况表"/>
            <w:r>
              <w:rPr>
                <w:rFonts w:hint="eastAsia"/>
              </w:rPr>
              <w:t>工程名称</w:t>
            </w:r>
          </w:p>
        </w:tc>
        <w:tc>
          <w:tcPr>
            <w:tcW w:w="6064" w:type="dxa"/>
            <w:shd w:val="clear" w:color="auto" w:fill="auto"/>
          </w:tcPr>
          <w:p>
            <w:pPr>
              <w:spacing w:line="240" w:lineRule="atLeast"/>
            </w:pPr>
            <w:bookmarkStart w:id="20" w:name="工程名称"/>
            <w:r>
              <w:t>新建项目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工程地点</w:t>
            </w:r>
          </w:p>
        </w:tc>
        <w:tc>
          <w:tcPr>
            <w:tcW w:w="6064" w:type="dxa"/>
            <w:shd w:val="clear" w:color="auto" w:fill="auto"/>
          </w:tcPr>
          <w:p>
            <w:pPr>
              <w:spacing w:line="240" w:lineRule="atLeast"/>
            </w:pPr>
            <w:bookmarkStart w:id="21" w:name="工程地点"/>
            <w:r>
              <w:t>河南-焦作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气候子区</w:t>
            </w:r>
          </w:p>
        </w:tc>
        <w:tc>
          <w:tcPr>
            <w:tcW w:w="6064" w:type="dxa"/>
            <w:shd w:val="clear" w:color="auto" w:fill="auto"/>
          </w:tcPr>
          <w:p>
            <w:pPr>
              <w:spacing w:line="240" w:lineRule="atLeast"/>
            </w:pPr>
            <w:bookmarkStart w:id="22" w:name="气候分区"/>
            <w:r>
              <w:t>寒冷B区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建筑面积</w:t>
            </w:r>
          </w:p>
        </w:tc>
        <w:tc>
          <w:tcPr>
            <w:tcW w:w="6064" w:type="dxa"/>
            <w:shd w:val="clear" w:color="auto" w:fill="auto"/>
          </w:tcPr>
          <w:p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3" w:name="地上建筑面积"/>
            <w:r>
              <w:rPr>
                <w:rFonts w:hint="eastAsia"/>
              </w:rPr>
              <w:t>12893</w:t>
            </w:r>
            <w:bookmarkEnd w:id="23"/>
            <w:r>
              <w:rPr>
                <w:rFonts w:hint="eastAsia"/>
              </w:rPr>
              <w:t>㎡    地下</w:t>
            </w:r>
            <w:bookmarkStart w:id="24" w:name="地下建筑面积"/>
            <w:r>
              <w:rPr>
                <w:rFonts w:hint="eastAsia"/>
              </w:rPr>
              <w:t>0</w:t>
            </w:r>
            <w:bookmarkEnd w:id="24"/>
            <w:r>
              <w:rPr>
                <w:rFonts w:hint="eastAsia"/>
              </w:rPr>
              <w:t>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建筑层数</w:t>
            </w:r>
          </w:p>
        </w:tc>
        <w:tc>
          <w:tcPr>
            <w:tcW w:w="6064" w:type="dxa"/>
            <w:shd w:val="clear" w:color="auto" w:fill="auto"/>
          </w:tcPr>
          <w:p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5" w:name="地上建筑层数"/>
            <w:r>
              <w:rPr>
                <w:rFonts w:hint="eastAsia"/>
              </w:rPr>
              <w:t>4</w:t>
            </w:r>
            <w:bookmarkEnd w:id="25"/>
            <w:r>
              <w:rPr>
                <w:rFonts w:hint="eastAsia"/>
              </w:rPr>
              <w:t xml:space="preserve">          地下</w:t>
            </w:r>
            <w:bookmarkStart w:id="26" w:name="地下建筑层数"/>
            <w:r>
              <w:t>0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建筑高度</w:t>
            </w:r>
          </w:p>
        </w:tc>
        <w:tc>
          <w:tcPr>
            <w:tcW w:w="6064" w:type="dxa"/>
            <w:shd w:val="clear" w:color="auto" w:fill="auto"/>
          </w:tcPr>
          <w:p>
            <w:pPr>
              <w:spacing w:line="240" w:lineRule="atLeast"/>
            </w:pPr>
            <w:bookmarkStart w:id="27" w:name="地上建筑高度"/>
            <w:r>
              <w:rPr>
                <w:rFonts w:hint="eastAsia"/>
              </w:rPr>
              <w:t>16.2</w:t>
            </w:r>
            <w:bookmarkEnd w:id="27"/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结构类型</w:t>
            </w:r>
          </w:p>
        </w:tc>
        <w:tc>
          <w:tcPr>
            <w:tcW w:w="6064" w:type="dxa"/>
            <w:shd w:val="clear" w:color="auto" w:fill="auto"/>
          </w:tcPr>
          <w:p>
            <w:pPr>
              <w:spacing w:line="240" w:lineRule="atLeast"/>
            </w:pPr>
            <w:bookmarkStart w:id="28" w:name="结构类型"/>
            <w:bookmarkEnd w:id="28"/>
          </w:p>
        </w:tc>
      </w:tr>
      <w:bookmarkEnd w:id="19"/>
    </w:tbl>
    <w:p>
      <w:pPr>
        <w:rPr>
          <w:b/>
          <w:sz w:val="24"/>
        </w:rPr>
      </w:pPr>
    </w:p>
    <w:p>
      <w:pPr>
        <w:pStyle w:val="2"/>
        <w:spacing w:line="240" w:lineRule="atLeast"/>
      </w:pPr>
      <w:bookmarkStart w:id="29" w:name="_Toc480186123"/>
      <w:bookmarkStart w:id="30" w:name="_Toc155690475"/>
      <w:bookmarkStart w:id="31" w:name="_Toc316568036"/>
      <w:bookmarkStart w:id="32" w:name="_Toc480186061"/>
      <w:bookmarkStart w:id="33" w:name="_Toc480218445"/>
      <w:bookmarkStart w:id="34" w:name="_Toc20507"/>
      <w:bookmarkStart w:id="35" w:name="TitleFormat"/>
      <w:r>
        <w:rPr>
          <w:rFonts w:hint="eastAsia"/>
        </w:rPr>
        <w:t>评价依据</w:t>
      </w:r>
      <w:bookmarkEnd w:id="29"/>
      <w:bookmarkEnd w:id="30"/>
      <w:bookmarkEnd w:id="31"/>
      <w:bookmarkEnd w:id="32"/>
      <w:bookmarkEnd w:id="33"/>
      <w:bookmarkEnd w:id="34"/>
    </w:p>
    <w:bookmarkEnd w:id="35"/>
    <w:p>
      <w:pPr>
        <w:rPr>
          <w:lang w:val="en-GB"/>
        </w:rPr>
      </w:pPr>
      <w:r>
        <w:rPr>
          <w:rFonts w:hint="eastAsia"/>
        </w:rPr>
        <w:t xml:space="preserve">1. </w:t>
      </w:r>
      <w:bookmarkStart w:id="36" w:name="标准名称"/>
      <w:r>
        <w:rPr>
          <w:rFonts w:hint="eastAsia"/>
        </w:rPr>
        <w:t>《建筑节能与可再生能源利用通用规范》GB55015-2021</w:t>
      </w:r>
      <w:bookmarkEnd w:id="36"/>
    </w:p>
    <w:p>
      <w:r>
        <w:rPr>
          <w:rFonts w:hint="eastAsia"/>
        </w:rPr>
        <w:t>2. 《建筑环境通用规范》GB</w:t>
      </w:r>
      <w:r>
        <w:t xml:space="preserve"> 55016-2021</w:t>
      </w:r>
    </w:p>
    <w:p>
      <w:r>
        <w:rPr>
          <w:rFonts w:hint="eastAsia"/>
        </w:rPr>
        <w:t>3. 《民用建筑热工设计规范》GB50176</w:t>
      </w:r>
      <w:r>
        <w:t>-2016</w:t>
      </w:r>
    </w:p>
    <w:p>
      <w:r>
        <w:t>4</w:t>
      </w:r>
      <w:r>
        <w:rPr>
          <w:rFonts w:hint="eastAsia"/>
        </w:rPr>
        <w:t>.  施工图、设计说明、墙身大样图、节能计算书</w:t>
      </w:r>
    </w:p>
    <w:p>
      <w:pPr>
        <w:pStyle w:val="41"/>
        <w:spacing w:line="240" w:lineRule="atLeast"/>
        <w:ind w:left="420" w:firstLine="0" w:firstLineChars="0"/>
        <w:rPr>
          <w:lang w:val="en-GB"/>
        </w:rPr>
      </w:pPr>
    </w:p>
    <w:p>
      <w:pPr>
        <w:pStyle w:val="4"/>
        <w:spacing w:line="240" w:lineRule="atLeast"/>
        <w:rPr>
          <w:kern w:val="2"/>
        </w:rPr>
      </w:pPr>
      <w:bookmarkStart w:id="37" w:name="_Toc480186062"/>
      <w:bookmarkStart w:id="38" w:name="_Toc480186124"/>
      <w:bookmarkStart w:id="39" w:name="_Toc155690476"/>
      <w:bookmarkStart w:id="40" w:name="_Toc480218446"/>
      <w:bookmarkStart w:id="41" w:name="_Toc3307"/>
      <w:r>
        <w:rPr>
          <w:rFonts w:hint="eastAsia"/>
          <w:kern w:val="2"/>
        </w:rPr>
        <w:t>评价目标</w:t>
      </w:r>
      <w:bookmarkEnd w:id="37"/>
      <w:bookmarkEnd w:id="38"/>
      <w:bookmarkEnd w:id="39"/>
      <w:bookmarkEnd w:id="40"/>
      <w:bookmarkEnd w:id="41"/>
    </w:p>
    <w:p>
      <w:pPr>
        <w:pStyle w:val="41"/>
      </w:pPr>
      <w:r>
        <w:t>依据《</w:t>
      </w:r>
      <w:r>
        <w:rPr>
          <w:rFonts w:hint="eastAsia"/>
        </w:rPr>
        <w:t>建筑环境通用规范》GB</w:t>
      </w:r>
      <w:r>
        <w:t xml:space="preserve"> 55016</w:t>
      </w:r>
      <w:r>
        <w:rPr>
          <w:rFonts w:hint="eastAsia"/>
        </w:rPr>
        <w:t>-</w:t>
      </w:r>
      <w:r>
        <w:t xml:space="preserve">2021 </w:t>
      </w:r>
      <w:r>
        <w:rPr>
          <w:b/>
          <w:bCs/>
        </w:rPr>
        <w:t>4.4.3</w:t>
      </w:r>
      <w:r>
        <w:rPr>
          <w:rFonts w:hint="eastAsia"/>
        </w:rPr>
        <w:t>条：供暖</w:t>
      </w:r>
      <w:r>
        <w:t>期间，</w:t>
      </w:r>
      <w:r>
        <w:rPr>
          <w:rFonts w:hint="eastAsia"/>
        </w:rPr>
        <w:t>围护结构</w:t>
      </w:r>
      <w:r>
        <w:t>中保温材料因内部冷凝受潮而增加的重量</w:t>
      </w:r>
      <w:r>
        <w:rPr>
          <w:rFonts w:hint="eastAsia"/>
        </w:rPr>
        <w:t>湿度允许增量，应符合要求；</w:t>
      </w:r>
      <w:r>
        <w:t>相应冷凝计算界面内侧最小蒸汽渗透阻应大于按</w:t>
      </w:r>
      <w:r>
        <w:rPr>
          <w:rFonts w:hint="eastAsia"/>
        </w:rPr>
        <w:t>式（3.2-1）计算</w:t>
      </w:r>
      <w:r>
        <w:t>的蒸汽渗透阻</w:t>
      </w:r>
      <w:r>
        <w:rPr>
          <w:rFonts w:hint="eastAsia"/>
        </w:rPr>
        <w:t>。</w:t>
      </w:r>
    </w:p>
    <w:p>
      <w:pPr>
        <w:pStyle w:val="4"/>
        <w:spacing w:line="240" w:lineRule="atLeast"/>
        <w:rPr>
          <w:kern w:val="2"/>
        </w:rPr>
      </w:pPr>
      <w:bookmarkStart w:id="42" w:name="_Toc480186125"/>
      <w:bookmarkStart w:id="43" w:name="_Toc479931706"/>
      <w:bookmarkStart w:id="44" w:name="_Toc480218447"/>
      <w:bookmarkStart w:id="45" w:name="_Toc155690477"/>
      <w:bookmarkStart w:id="46" w:name="_Toc480186063"/>
      <w:bookmarkStart w:id="47" w:name="_Toc9987"/>
      <w:r>
        <w:rPr>
          <w:rFonts w:hint="eastAsia"/>
          <w:kern w:val="2"/>
        </w:rPr>
        <w:t>评价方法</w:t>
      </w:r>
      <w:bookmarkEnd w:id="42"/>
      <w:bookmarkEnd w:id="43"/>
      <w:bookmarkEnd w:id="44"/>
      <w:bookmarkEnd w:id="45"/>
      <w:bookmarkEnd w:id="46"/>
      <w:bookmarkEnd w:id="47"/>
    </w:p>
    <w:p>
      <w:pPr>
        <w:pStyle w:val="41"/>
      </w:pPr>
      <w:r>
        <w:rPr>
          <w:rFonts w:hint="eastAsia"/>
        </w:rPr>
        <w:t>根据《建筑环境通用规范》GB</w:t>
      </w:r>
      <w:r>
        <w:t xml:space="preserve"> 55016</w:t>
      </w:r>
      <w:r>
        <w:rPr>
          <w:rFonts w:hint="eastAsia"/>
        </w:rPr>
        <w:t>第</w:t>
      </w:r>
      <w:r>
        <w:t>4.4.3</w:t>
      </w:r>
      <w:r>
        <w:rPr>
          <w:rFonts w:hint="eastAsia"/>
        </w:rPr>
        <w:t>条，</w:t>
      </w:r>
      <w:r>
        <w:t>,</w:t>
      </w:r>
      <w:r>
        <w:rPr>
          <w:rFonts w:hint="eastAsia"/>
        </w:rPr>
        <w:t>当围护结构内部可能发生冷凝时，冷凝计算界面内侧所需的蒸汽渗透阻应按式（3.2-1）计算：</w:t>
      </w:r>
    </w:p>
    <w:p>
      <w:pPr>
        <w:wordWrap w:val="0"/>
        <w:jc w:val="right"/>
      </w:pPr>
      <w:r>
        <w:rPr>
          <w:position w:val="-54"/>
        </w:rPr>
        <w:object>
          <v:shape id="_x0000_i1025" o:spt="75" type="#_x0000_t75" style="height:43.2pt;width:144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t xml:space="preserve">                          </w:t>
      </w:r>
      <w:r>
        <w:rPr>
          <w:rFonts w:hint="eastAsia"/>
        </w:rPr>
        <w:t xml:space="preserve">（3.2-1） </w:t>
      </w:r>
    </w:p>
    <w:p>
      <w:r>
        <w:rPr>
          <w:rFonts w:hint="eastAsia"/>
        </w:rPr>
        <w:t>则推导：</w:t>
      </w:r>
    </w:p>
    <w:p>
      <w:pPr>
        <w:wordWrap w:val="0"/>
        <w:jc w:val="right"/>
      </w:pPr>
      <w:r>
        <w:rPr>
          <w:position w:val="-28"/>
        </w:rPr>
        <w:object>
          <v:shape id="_x0000_i1026" o:spt="75" type="#_x0000_t75" style="height:50.1pt;width:165.9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t xml:space="preserve">                        </w:t>
      </w:r>
      <w:r>
        <w:rPr>
          <w:rFonts w:hint="eastAsia"/>
        </w:rPr>
        <w:t>（3.2-2）</w:t>
      </w:r>
    </w:p>
    <w:p>
      <w:r>
        <w:rPr>
          <w:rFonts w:hint="eastAsia"/>
        </w:rPr>
        <w:t>式中：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10"/>
        </w:rPr>
        <w:object>
          <v:shape id="_x0000_i1027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采暖期间保温材料重量湿度的允许增量限值(%)；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28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冷凝计算界面内侧实际的蒸汽渗透阻(㎡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29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113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h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1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114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Pa/g)；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3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3" DrawAspect="Content" ObjectID="_1468075729" r:id="rId17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冷凝计算界面至围护结构外表面之间的蒸汽渗透阻(㎡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4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115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h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6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116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Pa/g)；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8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8" DrawAspect="Content" ObjectID="_1468075730" r:id="rId19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室内空气水蒸气分压力(Pa)，根据室内计算温度和相对湿度确定；</w:t>
      </w:r>
    </w:p>
    <w:p>
      <w:pPr>
        <w:autoSpaceDE w:val="0"/>
        <w:autoSpaceDN w:val="0"/>
        <w:adjustRightInd w:val="0"/>
        <w:ind w:left="1470" w:leftChars="400" w:hanging="630" w:hangingChars="3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9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9" DrawAspect="Content" ObjectID="_1468075731" r:id="rId21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室外空气水蒸气分压力(Pa)，根据本规范附录三附表3.1查得的采暖期室外平均温度和平均相对温度确定；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40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40" DrawAspect="Content" ObjectID="_1468075732" r:id="rId23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冷凝计算界面处与界面温度</w:t>
      </w:r>
      <w:r>
        <w:rPr>
          <w:rFonts w:ascii="宋体" w:cs="宋体"/>
          <w:kern w:val="0"/>
          <w:position w:val="-6"/>
          <w:szCs w:val="21"/>
        </w:rPr>
        <w:object>
          <v:shape id="_x0000_i1041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41" DrawAspect="Content" ObjectID="_1468075733" r:id="rId25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 xml:space="preserve"> </w:t>
      </w:r>
      <w:r>
        <w:rPr>
          <w:rFonts w:hint="eastAsia" w:ascii="宋体" w:cs="宋体"/>
          <w:kern w:val="0"/>
          <w:szCs w:val="21"/>
        </w:rPr>
        <w:t>对应的饱和水蒸气分压力(Pa)；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rFonts w:hint="eastAsia"/>
        </w:rPr>
        <w:t>Z—</w:t>
      </w:r>
      <w:r>
        <w:rPr>
          <w:rFonts w:hint="eastAsia" w:ascii="宋体" w:cs="宋体"/>
          <w:kern w:val="0"/>
          <w:szCs w:val="21"/>
        </w:rPr>
        <w:t>采暖期天数，应符合本规范附录三附表3.1的规定；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10"/>
        </w:rPr>
        <w:object>
          <v:shape id="_x0000_i1042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42" DrawAspect="Content" ObjectID="_1468075734" r:id="rId27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保温材料的干密度(kg/m</w:t>
      </w:r>
      <w:r>
        <w:rPr>
          <w:rFonts w:ascii="宋体" w:cs="宋体"/>
          <w:kern w:val="0"/>
          <w:szCs w:val="21"/>
          <w:vertAlign w:val="superscript"/>
        </w:rPr>
        <w:t>3</w:t>
      </w:r>
      <w:r>
        <w:rPr>
          <w:rFonts w:hint="eastAsia" w:ascii="宋体" w:cs="宋体"/>
          <w:kern w:val="0"/>
          <w:szCs w:val="21"/>
        </w:rPr>
        <w:t>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43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43" DrawAspect="Content" ObjectID="_1468075735" r:id="rId29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保温材料厚度(m)；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</w:p>
    <w:p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hint="eastAsia" w:eastAsiaTheme="minorEastAsia"/>
          <w:szCs w:val="22"/>
        </w:rPr>
        <w:t>冷凝计算界面温度可按下式计算：</w:t>
      </w:r>
    </w:p>
    <w:p>
      <w:pPr>
        <w:jc w:val="center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4" o:spt="75" type="#_x0000_t75" style="height:36.3pt;width:115.2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3" ShapeID="_x0000_i1044" DrawAspect="Content" ObjectID="_1468075736" r:id="rId31">
            <o:LockedField>false</o:LockedField>
          </o:OLEObject>
        </w:object>
      </w:r>
    </w:p>
    <w:p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hint="eastAsia" w:eastAsiaTheme="minorEastAsia"/>
          <w:szCs w:val="22"/>
        </w:rPr>
        <w:t>式中：</w:t>
      </w:r>
      <w:r>
        <w:rPr>
          <w:rFonts w:eastAsiaTheme="minorEastAsia"/>
        </w:rPr>
        <w:object>
          <v:shape id="_x0000_i1045" o:spt="75" type="#_x0000_t75" style="height:21.9pt;width:14.4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3" ShapeID="_x0000_i1045" DrawAspect="Content" ObjectID="_1468075737" r:id="rId33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冷凝计算界面温度（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6" o:spt="75" type="#_x0000_t75" style="height:21.9pt;width:7.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3" ShapeID="_x0000_i1046" DrawAspect="Content" ObjectID="_1468075738" r:id="rId35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室内计算温度（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7" o:spt="75" type="#_x0000_t75" style="height:21.9pt;width:7.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3" ShapeID="_x0000_i1047" DrawAspect="Content" ObjectID="_1468075739" r:id="rId37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采暖期室外平均温度（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8" o:spt="75" type="#_x0000_t75" style="height:21.9pt;width:14.4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3" ShapeID="_x0000_i1048" DrawAspect="Content" ObjectID="_1468075740" r:id="rId39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围护结构传热阻（㎡</w:t>
      </w:r>
      <w:r>
        <w:rPr>
          <w:rFonts w:eastAsiaTheme="minorEastAsia"/>
          <w:szCs w:val="22"/>
        </w:rPr>
        <w:t>·K/W</w:t>
      </w:r>
      <w:r>
        <w:rPr>
          <w:rFonts w:hint="eastAsia" w:eastAsiaTheme="minorEastAsia"/>
          <w:szCs w:val="22"/>
        </w:rPr>
        <w:t>）</w:t>
      </w:r>
    </w:p>
    <w:p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9" o:spt="75" type="#_x0000_t75" style="height:21.9pt;width:14.4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3" ShapeID="_x0000_i1049" DrawAspect="Content" ObjectID="_1468075741" r:id="rId41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内表面换热阻（㎡</w:t>
      </w:r>
      <w:r>
        <w:rPr>
          <w:rFonts w:eastAsiaTheme="minorEastAsia"/>
          <w:szCs w:val="22"/>
        </w:rPr>
        <w:t>K/W</w:t>
      </w:r>
      <w:r>
        <w:rPr>
          <w:rFonts w:hint="eastAsia" w:eastAsiaTheme="minorEastAsia"/>
          <w:szCs w:val="22"/>
        </w:rPr>
        <w:t>）</w:t>
      </w:r>
    </w:p>
    <w:p>
      <w:pPr>
        <w:rPr>
          <w:rFonts w:asciiTheme="minorHAnsi" w:hAnsiTheme="minorHAnsi" w:eastAsiaTheme="minorEastAsia"/>
          <w:szCs w:val="22"/>
        </w:rPr>
      </w:pPr>
      <w:r>
        <w:rPr>
          <w:rFonts w:eastAsiaTheme="minorEastAsia"/>
          <w:szCs w:val="22"/>
        </w:rPr>
        <w:t xml:space="preserve">    </w:t>
      </w:r>
      <w:r>
        <w:rPr>
          <w:rFonts w:eastAsiaTheme="minorEastAsia"/>
        </w:rPr>
        <w:object>
          <v:shape id="_x0000_i1050" o:spt="75" type="#_x0000_t75" style="height:21.9pt;width:21.9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3" ShapeID="_x0000_i1050" DrawAspect="Content" ObjectID="_1468075742" r:id="rId43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冷凝计算界面至围护结构内表面之间的热阻（㎡</w:t>
      </w:r>
      <w:r>
        <w:rPr>
          <w:rFonts w:eastAsiaTheme="minorEastAsia"/>
          <w:szCs w:val="22"/>
        </w:rPr>
        <w:t>·K/W</w:t>
      </w:r>
      <w:r>
        <w:rPr>
          <w:rFonts w:hint="eastAsia" w:eastAsiaTheme="minorEastAsia"/>
          <w:szCs w:val="22"/>
        </w:rPr>
        <w:t>）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</w:p>
    <w:p>
      <w:pPr>
        <w:pStyle w:val="2"/>
        <w:spacing w:line="240" w:lineRule="atLeast"/>
      </w:pPr>
      <w:bookmarkStart w:id="48" w:name="_Toc480186126"/>
      <w:bookmarkStart w:id="49" w:name="_Toc480218448"/>
      <w:bookmarkStart w:id="50" w:name="_Toc480186064"/>
      <w:bookmarkStart w:id="51" w:name="_Toc155690478"/>
      <w:bookmarkStart w:id="52" w:name="_Toc30607"/>
      <w:r>
        <w:rPr>
          <w:rFonts w:hint="eastAsia"/>
        </w:rPr>
        <w:t>防潮验算</w:t>
      </w:r>
      <w:r>
        <w:t>计算过程</w:t>
      </w:r>
      <w:bookmarkEnd w:id="48"/>
      <w:bookmarkEnd w:id="49"/>
      <w:bookmarkEnd w:id="50"/>
      <w:bookmarkEnd w:id="51"/>
      <w:bookmarkEnd w:id="52"/>
    </w:p>
    <w:p>
      <w:pPr>
        <w:pStyle w:val="4"/>
        <w:spacing w:line="240" w:lineRule="atLeast"/>
        <w:rPr>
          <w:kern w:val="2"/>
        </w:rPr>
      </w:pPr>
      <w:bookmarkStart w:id="53" w:name="_Toc155690479"/>
      <w:bookmarkStart w:id="54" w:name="_Toc14367"/>
      <w:r>
        <w:rPr>
          <w:rFonts w:hint="eastAsia"/>
          <w:kern w:val="2"/>
        </w:rPr>
        <w:t>计算条件</w:t>
      </w:r>
      <w:bookmarkEnd w:id="53"/>
      <w:bookmarkEnd w:id="54"/>
    </w:p>
    <w:tbl>
      <w:tblPr>
        <w:tblStyle w:val="20"/>
        <w:tblW w:w="9326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2"/>
        <w:gridCol w:w="2693"/>
        <w:gridCol w:w="367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962" w:type="dxa"/>
            <w:tcBorders>
              <w:top w:val="single" w:color="auto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r>
              <w:rPr>
                <w:position w:val="-6"/>
              </w:rPr>
              <w:object>
                <v:shape id="_x0000_i1051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46" o:title=""/>
                  <o:lock v:ext="edit" aspectratio="t"/>
                  <w10:wrap type="none"/>
                  <w10:anchorlock/>
                </v:shape>
                <o:OLEObject Type="Embed" ProgID="Equation.DSMT4" ShapeID="_x0000_i1051" DrawAspect="Content" ObjectID="_1468075743" r:id="rId45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内表面换热阻</w:t>
            </w:r>
            <w:r>
              <w:rPr>
                <w:rFonts w:hint="eastAsia"/>
                <w:sz w:val="15"/>
              </w:rPr>
              <w:t>（㎡*K/W）</w:t>
            </w:r>
          </w:p>
        </w:tc>
        <w:tc>
          <w:tcPr>
            <w:tcW w:w="2693" w:type="dxa"/>
            <w:tcBorders>
              <w:top w:val="single" w:color="auto" w:sz="12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0.11</w:t>
            </w:r>
          </w:p>
        </w:tc>
        <w:tc>
          <w:tcPr>
            <w:tcW w:w="3671" w:type="dxa"/>
            <w:tcBorders>
              <w:top w:val="single" w:color="auto" w:sz="12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GB50176附录B.4的</w:t>
            </w:r>
            <w:r>
              <w:t>规定采用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r>
              <w:t xml:space="preserve">ti </w:t>
            </w:r>
            <w:r>
              <w:rPr>
                <w:rFonts w:hint="eastAsia"/>
              </w:rPr>
              <w:t>室内计算温度</w:t>
            </w: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℃</w:t>
            </w:r>
            <w:r>
              <w:rPr>
                <w:sz w:val="15"/>
              </w:rP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bookmarkStart w:id="55" w:name="t_i_avg"/>
            <w:r>
              <w:rPr>
                <w:rFonts w:hint="eastAsia"/>
              </w:rPr>
              <w:t>18</w:t>
            </w:r>
            <w:bookmarkEnd w:id="55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GB50176第3.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r>
              <w:rPr>
                <w:rFonts w:hint="eastAsia"/>
              </w:rPr>
              <w:t>室内</w:t>
            </w:r>
            <w:r>
              <w:t>相对湿度</w:t>
            </w: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%</w:t>
            </w:r>
            <w:r>
              <w:rPr>
                <w:sz w:val="15"/>
              </w:rP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bookmarkStart w:id="56" w:name="室内相对湿度"/>
            <w:r>
              <w:rPr>
                <w:rFonts w:hint="eastAsia"/>
              </w:rPr>
              <w:t>60</w:t>
            </w:r>
            <w:bookmarkEnd w:id="56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GB50176第3.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r>
              <w:rPr>
                <w:position w:val="-6"/>
              </w:rPr>
              <w:object>
                <v:shape id="_x0000_i1052" o:spt="75" type="#_x0000_t75" style="height:14.4pt;width:7.5pt;" o:ole="t" filled="f" o:preferrelative="t" stroked="f" coordsize="21600,21600">
                  <v:path/>
                  <v:fill on="f" focussize="0,0"/>
                  <v:stroke on="f" joinstyle="miter"/>
                  <v:imagedata r:id="rId48" o:title=""/>
                  <o:lock v:ext="edit" aspectratio="t"/>
                  <w10:wrap type="none"/>
                  <w10:anchorlock/>
                </v:shape>
                <o:OLEObject Type="Embed" ProgID="Equation.DSMT4" ShapeID="_x0000_i1052" DrawAspect="Content" ObjectID="_1468075744" r:id="rId47">
                  <o:LockedField>false</o:LockedField>
                </o:OLEObject>
              </w:object>
            </w:r>
            <w:r>
              <w:rPr>
                <w:rFonts w:hint="eastAsia"/>
              </w:rPr>
              <w:t xml:space="preserve"> 采暖期室外平均温度</w:t>
            </w:r>
            <w:r>
              <w:rPr>
                <w:rFonts w:hint="eastAsia"/>
                <w:sz w:val="15"/>
              </w:rPr>
              <w:t>（℃）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bookmarkStart w:id="57" w:name="t_e_avg"/>
            <w:r>
              <w:rPr>
                <w:rFonts w:hint="eastAsia"/>
              </w:rPr>
              <w:t>2.50</w:t>
            </w:r>
            <w:bookmarkEnd w:id="57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r>
              <w:rPr>
                <w:rFonts w:hint="eastAsia"/>
              </w:rPr>
              <w:t>室外</w:t>
            </w:r>
            <w:r>
              <w:t>相对湿度</w:t>
            </w: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%</w:t>
            </w:r>
            <w:r>
              <w:rPr>
                <w:sz w:val="15"/>
              </w:rP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bookmarkStart w:id="58" w:name="室外相对湿度"/>
            <w:r>
              <w:rPr>
                <w:rFonts w:hint="eastAsia"/>
              </w:rPr>
              <w:t>57.00</w:t>
            </w:r>
            <w:bookmarkEnd w:id="58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auto" w:sz="8" w:space="0"/>
            </w:tcBorders>
            <w:shd w:val="clear" w:color="auto" w:fill="E6E6E6"/>
            <w:vAlign w:val="center"/>
          </w:tcPr>
          <w:p>
            <w:r>
              <w:rPr>
                <w:rFonts w:hint="eastAsia"/>
              </w:rPr>
              <w:t>Z</w:t>
            </w:r>
            <w:r>
              <w:t xml:space="preserve"> </w:t>
            </w:r>
            <w:r>
              <w:rPr>
                <w:rFonts w:hint="eastAsia"/>
              </w:rPr>
              <w:t>采暖</w:t>
            </w:r>
            <w:r>
              <w:t>天数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bookmarkStart w:id="59" w:name="Z"/>
            <w:r>
              <w:rPr>
                <w:rFonts w:hint="eastAsia"/>
              </w:rPr>
              <w:t>88</w:t>
            </w:r>
            <w:bookmarkEnd w:id="59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GB50176附录A表A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</w:tbl>
    <w:p>
      <w:pPr>
        <w:rPr>
          <w:lang w:val="en-GB"/>
        </w:rPr>
      </w:pPr>
      <w:r>
        <w:rPr>
          <w:rFonts w:hint="eastAsia"/>
        </w:rPr>
        <w:t xml:space="preserve"> </w:t>
      </w:r>
      <w:bookmarkStart w:id="60" w:name="气象数据参考"/>
      <w:r>
        <w:t>注：气象数据参考 河南-郑州.</w:t>
      </w:r>
      <w:r>
        <w:br w:type="textWrapping"/>
      </w:r>
      <w:bookmarkEnd w:id="60"/>
    </w:p>
    <w:p>
      <w:pPr>
        <w:pStyle w:val="3"/>
        <w:ind w:left="0" w:leftChars="0" w:right="1470"/>
      </w:pPr>
    </w:p>
    <w:p>
      <w:pPr>
        <w:pStyle w:val="4"/>
        <w:spacing w:line="240" w:lineRule="atLeast"/>
        <w:rPr>
          <w:kern w:val="2"/>
        </w:rPr>
      </w:pPr>
      <w:bookmarkStart w:id="61" w:name="_Toc29635"/>
      <w:bookmarkStart w:id="62" w:name="构造类型"/>
      <w:bookmarkStart w:id="63" w:name="_Toc155690480"/>
      <w:bookmarkStart w:id="64" w:name="DataTab"/>
      <w:r>
        <w:rPr>
          <w:rFonts w:hint="eastAsia"/>
          <w:kern w:val="2"/>
        </w:rPr>
        <w:t>屋顶构造：</w:t>
      </w:r>
      <w:bookmarkStart w:id="65" w:name="构造ID"/>
      <w:r>
        <w:rPr>
          <w:rFonts w:hint="eastAsia"/>
          <w:kern w:val="2"/>
        </w:rPr>
        <w:t>屋顶构造一砼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bookmarkEnd w:id="61"/>
    </w:p>
    <w:tbl>
      <w:tblPr>
        <w:tblStyle w:val="20"/>
        <w:tblW w:w="948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kern w:val="0"/>
                <w:szCs w:val="20"/>
                <w:lang w:val="en-GB"/>
              </w:rPr>
            </w:pPr>
            <w:bookmarkStart w:id="66" w:name="构造表"/>
            <w:r>
              <w:rPr>
                <w:rFonts w:hint="eastAsia"/>
              </w:rPr>
              <w:t>材料名称</w:t>
            </w:r>
            <w:r>
              <w:br w:type="textWrapping"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vAlign w:val="center"/>
          </w:tcPr>
          <w:p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5"/>
              </w:rP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5"/>
              </w:rP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5"/>
              </w:rPr>
              <w:t>g</w:t>
            </w:r>
            <w:r>
              <w:rPr>
                <w:rFonts w:hint="eastAsia"/>
                <w:sz w:val="15"/>
              </w:rPr>
              <w:t>/(m</w:t>
            </w:r>
            <w:r>
              <w:rPr>
                <w:sz w:val="15"/>
              </w:rPr>
              <w:t>.</w:t>
            </w:r>
            <w:r>
              <w:rPr>
                <w:rFonts w:hint="eastAsia"/>
                <w:sz w:val="15"/>
              </w:rPr>
              <w:t>h.</w:t>
            </w:r>
            <w:r>
              <w:rPr>
                <w:sz w:val="15"/>
              </w:rPr>
              <w:t>K</w:t>
            </w:r>
            <w:r>
              <w:rPr>
                <w:rFonts w:hint="eastAsia"/>
                <w:sz w:val="15"/>
              </w:rPr>
              <w:t>Pa</w:t>
            </w:r>
            <w:r>
              <w:rPr>
                <w:sz w:val="15"/>
              </w:rPr>
              <w:t>)</w:t>
            </w:r>
          </w:p>
        </w:tc>
        <w:tc>
          <w:tcPr>
            <w:tcW w:w="99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㎡</w:t>
            </w:r>
            <w:r>
              <w:rPr>
                <w:sz w:val="15"/>
              </w:rPr>
              <w:t>K)/W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树脂瓦</w:t>
            </w:r>
          </w:p>
        </w:tc>
        <w:tc>
          <w:tcPr>
            <w:tcW w:w="848" w:type="dxa"/>
            <w:vAlign w:val="center"/>
          </w:tcPr>
          <w:p>
            <w:r>
              <w:t>10</w:t>
            </w:r>
          </w:p>
        </w:tc>
        <w:tc>
          <w:tcPr>
            <w:tcW w:w="1075" w:type="dxa"/>
            <w:vAlign w:val="center"/>
          </w:tcPr>
          <w:p>
            <w:r>
              <w:t>0.325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1200.00</w:t>
            </w:r>
          </w:p>
        </w:tc>
        <w:tc>
          <w:tcPr>
            <w:tcW w:w="1559" w:type="dxa"/>
            <w:vAlign w:val="center"/>
          </w:tcPr>
          <w:p>
            <w:r>
              <w:t>0.0000</w:t>
            </w:r>
          </w:p>
        </w:tc>
        <w:tc>
          <w:tcPr>
            <w:tcW w:w="993" w:type="dxa"/>
            <w:vAlign w:val="center"/>
          </w:tcPr>
          <w:p>
            <w:r>
              <w:t>0.031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保温砂浆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0.290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800.00</w:t>
            </w:r>
          </w:p>
        </w:tc>
        <w:tc>
          <w:tcPr>
            <w:tcW w:w="1559" w:type="dxa"/>
            <w:vAlign w:val="center"/>
          </w:tcPr>
          <w:p>
            <w:r>
              <w:t>0.0000</w:t>
            </w:r>
          </w:p>
        </w:tc>
        <w:tc>
          <w:tcPr>
            <w:tcW w:w="993" w:type="dxa"/>
            <w:vAlign w:val="center"/>
          </w:tcPr>
          <w:p>
            <w:r>
              <w:t>0.069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不流动空气层-温度20摄氏度</w:t>
            </w:r>
          </w:p>
        </w:tc>
        <w:tc>
          <w:tcPr>
            <w:tcW w:w="848" w:type="dxa"/>
            <w:vAlign w:val="center"/>
          </w:tcPr>
          <w:p>
            <w:r>
              <w:t>40</w:t>
            </w:r>
          </w:p>
        </w:tc>
        <w:tc>
          <w:tcPr>
            <w:tcW w:w="1075" w:type="dxa"/>
            <w:vAlign w:val="center"/>
          </w:tcPr>
          <w:p>
            <w:r>
              <w:t>0.026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1.20</w:t>
            </w:r>
          </w:p>
        </w:tc>
        <w:tc>
          <w:tcPr>
            <w:tcW w:w="1559" w:type="dxa"/>
            <w:vAlign w:val="center"/>
          </w:tcPr>
          <w:p>
            <w:r>
              <w:t>0.0000</w:t>
            </w:r>
          </w:p>
        </w:tc>
        <w:tc>
          <w:tcPr>
            <w:tcW w:w="993" w:type="dxa"/>
            <w:vAlign w:val="center"/>
          </w:tcPr>
          <w:p>
            <w:r>
              <w:t>1.538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加气混凝土、泡沫混凝土(ρ=700)(1)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0.190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500.00</w:t>
            </w:r>
          </w:p>
        </w:tc>
        <w:tc>
          <w:tcPr>
            <w:tcW w:w="1559" w:type="dxa"/>
            <w:vAlign w:val="center"/>
          </w:tcPr>
          <w:p>
            <w:r>
              <w:t>0.0998</w:t>
            </w:r>
          </w:p>
        </w:tc>
        <w:tc>
          <w:tcPr>
            <w:tcW w:w="993" w:type="dxa"/>
            <w:vAlign w:val="center"/>
          </w:tcPr>
          <w:p>
            <w:r>
              <w:t>0.105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矿棉、岩棉、玻璃棉松散料(ρ=70-120)</w:t>
            </w:r>
          </w:p>
        </w:tc>
        <w:tc>
          <w:tcPr>
            <w:tcW w:w="848" w:type="dxa"/>
            <w:vAlign w:val="center"/>
          </w:tcPr>
          <w:p>
            <w:r>
              <w:t>40</w:t>
            </w:r>
          </w:p>
        </w:tc>
        <w:tc>
          <w:tcPr>
            <w:tcW w:w="1075" w:type="dxa"/>
            <w:vAlign w:val="center"/>
          </w:tcPr>
          <w:p>
            <w:r>
              <w:t>0.045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95.00</w:t>
            </w:r>
          </w:p>
        </w:tc>
        <w:tc>
          <w:tcPr>
            <w:tcW w:w="1559" w:type="dxa"/>
            <w:vAlign w:val="center"/>
          </w:tcPr>
          <w:p>
            <w:r>
              <w:t>0.4880</w:t>
            </w:r>
          </w:p>
        </w:tc>
        <w:tc>
          <w:tcPr>
            <w:tcW w:w="993" w:type="dxa"/>
            <w:vAlign w:val="center"/>
          </w:tcPr>
          <w:p>
            <w:r>
              <w:t>0.889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沥青、乳化沥青膨胀珍珠岩(ρ=300)</w:t>
            </w:r>
          </w:p>
        </w:tc>
        <w:tc>
          <w:tcPr>
            <w:tcW w:w="848" w:type="dxa"/>
            <w:vAlign w:val="center"/>
          </w:tcPr>
          <w:p>
            <w:r>
              <w:t>80</w:t>
            </w:r>
          </w:p>
        </w:tc>
        <w:tc>
          <w:tcPr>
            <w:tcW w:w="1075" w:type="dxa"/>
            <w:vAlign w:val="center"/>
          </w:tcPr>
          <w:p>
            <w:r>
              <w:t>0.093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300.00</w:t>
            </w:r>
          </w:p>
        </w:tc>
        <w:tc>
          <w:tcPr>
            <w:tcW w:w="1559" w:type="dxa"/>
            <w:vAlign w:val="center"/>
          </w:tcPr>
          <w:p>
            <w:r>
              <w:t>0.0675</w:t>
            </w:r>
          </w:p>
        </w:tc>
        <w:tc>
          <w:tcPr>
            <w:tcW w:w="993" w:type="dxa"/>
            <w:vAlign w:val="center"/>
          </w:tcPr>
          <w:p>
            <w:r>
              <w:t>0.860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沥青油毡、油毡纸</w:t>
            </w:r>
          </w:p>
        </w:tc>
        <w:tc>
          <w:tcPr>
            <w:tcW w:w="848" w:type="dxa"/>
            <w:vAlign w:val="center"/>
          </w:tcPr>
          <w:p>
            <w:r>
              <w:t>5</w:t>
            </w:r>
          </w:p>
        </w:tc>
        <w:tc>
          <w:tcPr>
            <w:tcW w:w="1075" w:type="dxa"/>
            <w:vAlign w:val="center"/>
          </w:tcPr>
          <w:p>
            <w:r>
              <w:t>0.170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600.00</w:t>
            </w:r>
          </w:p>
        </w:tc>
        <w:tc>
          <w:tcPr>
            <w:tcW w:w="1559" w:type="dxa"/>
            <w:vAlign w:val="center"/>
          </w:tcPr>
          <w:p>
            <w:r>
              <w:t>0.0000</w:t>
            </w:r>
          </w:p>
        </w:tc>
        <w:tc>
          <w:tcPr>
            <w:tcW w:w="993" w:type="dxa"/>
            <w:vAlign w:val="center"/>
          </w:tcPr>
          <w:p>
            <w:r>
              <w:t>0.029</w:t>
            </w:r>
          </w:p>
        </w:tc>
      </w:tr>
    </w:tbl>
    <w:p>
      <w:pPr>
        <w:pStyle w:val="5"/>
      </w:pPr>
      <w:r>
        <w:t>围护结构冷凝受潮计算表</w:t>
      </w:r>
    </w:p>
    <w:tbl>
      <w:tblPr>
        <w:tblStyle w:val="20"/>
        <w:tblW w:w="962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305"/>
        <w:gridCol w:w="708"/>
        <w:gridCol w:w="709"/>
        <w:gridCol w:w="680"/>
        <w:gridCol w:w="851"/>
        <w:gridCol w:w="850"/>
        <w:gridCol w:w="851"/>
        <w:gridCol w:w="708"/>
        <w:gridCol w:w="709"/>
        <w:gridCol w:w="709"/>
        <w:gridCol w:w="8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94" w:type="dxa"/>
            <w:shd w:val="clear" w:color="auto" w:fill="E6E6E6"/>
            <w:vAlign w:val="center"/>
          </w:tcPr>
          <w:p>
            <w:pPr>
              <w:jc w:val="center"/>
              <w:rPr>
                <w:kern w:val="0"/>
                <w:szCs w:val="20"/>
                <w:lang w:val="en-GB"/>
              </w:rPr>
            </w:pPr>
            <w:bookmarkStart w:id="67" w:name="构造计算表"/>
            <w:r>
              <w:rPr>
                <w:rFonts w:hint="eastAsia"/>
                <w:kern w:val="0"/>
                <w:szCs w:val="20"/>
                <w:lang w:val="en-GB"/>
              </w:rPr>
              <w:t>序号</w:t>
            </w:r>
          </w:p>
        </w:tc>
        <w:tc>
          <w:tcPr>
            <w:tcW w:w="130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0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δ</w:t>
            </w:r>
          </w:p>
          <w:p>
            <w:pPr>
              <w:jc w:val="center"/>
            </w:pPr>
            <w:r>
              <w:rPr>
                <w:rFonts w:hint="eastAsia"/>
              </w:rPr>
              <w:t>厚度</w:t>
            </w:r>
          </w:p>
          <w:p>
            <w:pPr>
              <w:jc w:val="center"/>
            </w:pPr>
            <w:r>
              <w:rPr>
                <w:rFonts w:hint="eastAsia"/>
                <w:sz w:val="15"/>
              </w:rPr>
              <w:t>(mm)</w:t>
            </w:r>
          </w:p>
        </w:tc>
        <w:tc>
          <w:tcPr>
            <w:tcW w:w="70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ρ</w:t>
            </w:r>
          </w:p>
          <w:p>
            <w:pPr>
              <w:jc w:val="center"/>
            </w:pPr>
            <w:r>
              <w:rPr>
                <w:rFonts w:hint="eastAsia"/>
              </w:rPr>
              <w:t>密度</w:t>
            </w:r>
          </w:p>
          <w:p>
            <w:pPr>
              <w:jc w:val="center"/>
            </w:pPr>
            <w:r>
              <w:rPr>
                <w:rFonts w:hint="eastAsia"/>
                <w:sz w:val="15"/>
              </w:rPr>
              <w:t>(kg/m3)</w:t>
            </w:r>
          </w:p>
        </w:tc>
        <w:tc>
          <w:tcPr>
            <w:tcW w:w="680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θi</w:t>
            </w:r>
          </w:p>
          <w:p>
            <w:pPr>
              <w:jc w:val="center"/>
            </w:pPr>
            <w:r>
              <w:rPr>
                <w:rFonts w:hint="eastAsia"/>
              </w:rPr>
              <w:t>温度</w:t>
            </w:r>
          </w:p>
          <w:p>
            <w:pPr>
              <w:jc w:val="center"/>
            </w:pPr>
            <w:r>
              <w:rPr>
                <w:rFonts w:hint="eastAsia"/>
                <w:sz w:val="15"/>
              </w:rPr>
              <w:t>(℃)</w:t>
            </w:r>
          </w:p>
        </w:tc>
        <w:tc>
          <w:tcPr>
            <w:tcW w:w="851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Pb</w:t>
            </w:r>
          </w:p>
          <w:p>
            <w:pPr>
              <w:jc w:val="center"/>
            </w:pPr>
            <w:r>
              <w:rPr>
                <w:rFonts w:hint="eastAsia"/>
              </w:rPr>
              <w:t>饱和水蒸汽分压力</w:t>
            </w:r>
          </w:p>
          <w:p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0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Ps</w:t>
            </w:r>
          </w:p>
          <w:p>
            <w:pPr>
              <w:jc w:val="center"/>
            </w:pPr>
            <w:r>
              <w:rPr>
                <w:rFonts w:hint="eastAsia"/>
              </w:rPr>
              <w:t>水蒸汽分压力</w:t>
            </w:r>
          </w:p>
          <w:p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1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λ</w:t>
            </w:r>
          </w:p>
          <w:p>
            <w:pPr>
              <w:jc w:val="center"/>
            </w:pPr>
            <w:r>
              <w:rPr>
                <w:rFonts w:hint="eastAsia"/>
              </w:rPr>
              <w:t>导热</w:t>
            </w:r>
          </w:p>
          <w:p>
            <w:pPr>
              <w:jc w:val="center"/>
            </w:pPr>
            <w:r>
              <w:rPr>
                <w:rFonts w:hint="eastAsia"/>
              </w:rPr>
              <w:t>系数</w:t>
            </w:r>
          </w:p>
          <w:p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70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α</w:t>
            </w:r>
          </w:p>
          <w:p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70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R</w:t>
            </w:r>
          </w:p>
          <w:p>
            <w:pPr>
              <w:jc w:val="center"/>
            </w:pPr>
            <w:r>
              <w:rPr>
                <w:rFonts w:hint="eastAsia"/>
              </w:rPr>
              <w:t>热阻</w:t>
            </w:r>
            <w:r>
              <w:rPr>
                <w:rFonts w:hint="eastAsia"/>
                <w:sz w:val="15"/>
              </w:rPr>
              <w:t>(m2.k/W)</w:t>
            </w:r>
          </w:p>
        </w:tc>
        <w:tc>
          <w:tcPr>
            <w:tcW w:w="70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μ</w:t>
            </w:r>
          </w:p>
          <w:p>
            <w:pPr>
              <w:jc w:val="center"/>
            </w:pPr>
            <w:r>
              <w:rPr>
                <w:rFonts w:hint="eastAsia"/>
              </w:rPr>
              <w:t>蒸汽渗透系数</w:t>
            </w:r>
            <w:r>
              <w:rPr>
                <w:rFonts w:hint="eastAsia"/>
                <w:sz w:val="15"/>
              </w:rPr>
              <w:t>g/(m.h.kPa)</w:t>
            </w:r>
          </w:p>
        </w:tc>
        <w:tc>
          <w:tcPr>
            <w:tcW w:w="850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H</w:t>
            </w:r>
          </w:p>
          <w:p>
            <w:pPr>
              <w:jc w:val="center"/>
            </w:pPr>
            <w:r>
              <w:rPr>
                <w:rFonts w:hint="eastAsia"/>
              </w:rPr>
              <w:t>蒸汽渗透阻</w:t>
            </w:r>
          </w:p>
          <w:p>
            <w:pPr>
              <w:jc w:val="center"/>
            </w:pPr>
            <w:r>
              <w:rPr>
                <w:rFonts w:hint="eastAsia"/>
                <w:sz w:val="15"/>
              </w:rPr>
              <w:t>(m2.h.Pa/g)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室外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right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2.50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731.0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416.7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室外换热层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0.04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2.6667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外表面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2.69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740.8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418.2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树脂瓦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1200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0.33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0.03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0.0000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0~1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2.82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747.5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418.2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保温砂浆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0.29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0.07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0.0000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1~2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3.11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763.1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418.2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不流动空气层-温度20摄氏度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40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1.54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0.0000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2~3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9.59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1194.5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418.2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加气混凝土、泡沫混凝土(ρ=700)(1)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500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0.19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0.11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0.0998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200.40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3~4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10.04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1230.2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529.4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矿棉、岩棉、玻璃棉松散料(ρ=70-120)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40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95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0.89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0.4880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81.97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4~5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13.79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1576.2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574.9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沥青、乳化沥青膨胀珍珠岩(ρ=300)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80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300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0.09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0.86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0.0675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1185.19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5~6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17.41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1987.9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1232.8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沥青油毡、油毡纸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600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0.17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0.03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0.0000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内表面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17.54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2003.6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1232.8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室内换热层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0.11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7.9808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19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室内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18.00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2062.0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1237.2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</w:tbl>
    <w:p>
      <w:pPr>
        <w:pStyle w:val="5"/>
      </w:pPr>
      <w:r>
        <w:rPr>
          <w:rFonts w:hint="eastAsia"/>
        </w:rPr>
        <w:t>冷凝计算界面至围护结构内表面之间的热阻</w:t>
      </w:r>
      <w:r>
        <w:object>
          <v:shape id="_x0000_i1053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53" DrawAspect="Content" ObjectID="_1468075745" r:id="rId49">
            <o:LockedField>false</o:LockedField>
          </o:OLEObject>
        </w:object>
      </w:r>
    </w:p>
    <w:p>
      <w:pPr>
        <w:pStyle w:val="41"/>
      </w:pPr>
      <w:r>
        <w:rPr>
          <w:rFonts w:hint="eastAsia"/>
        </w:rPr>
        <w:t>围护结构冷凝计算界面的位置，应取保温层与外侧密实材料层的交界处。</w:t>
      </w:r>
      <w:r>
        <w:rPr>
          <w:b/>
          <w:bCs/>
        </w:rPr>
        <w:object>
          <v:shape id="_x0000_i1054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54" DrawAspect="Content" ObjectID="_1468075746" r:id="rId51">
            <o:LockedField>false</o:LockedField>
          </o:OLEObject>
        </w:object>
      </w:r>
      <w:r>
        <w:rPr>
          <w:b/>
          <w:bCs/>
        </w:rPr>
        <w:t>=</w:t>
      </w:r>
      <w:bookmarkStart w:id="68" w:name="R_o_i"/>
      <w:r>
        <w:rPr>
          <w:rFonts w:hint="eastAsia"/>
        </w:rPr>
        <w:t>1.78</w:t>
      </w:r>
    </w:p>
    <w:p>
      <w:pPr>
        <w:pStyle w:val="5"/>
        <w:ind w:right="1470"/>
      </w:pPr>
      <w:r>
        <w:rPr>
          <w:rFonts w:hint="eastAsia"/>
        </w:rPr>
        <w:t>冷凝计算界面温度</w:t>
      </w:r>
      <w:r>
        <w:rPr>
          <w:position w:val="-6"/>
        </w:rPr>
        <w:object>
          <v:shape id="_x0000_i1055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55" DrawAspect="Content" ObjectID="_1468075747" r:id="rId52">
            <o:LockedField>false</o:LockedField>
          </o:OLEObject>
        </w:object>
      </w:r>
    </w:p>
    <w:p>
      <w:pPr>
        <w:jc w:val="center"/>
      </w:pPr>
      <w:r>
        <w:object>
          <v:shape id="_x0000_i1056" o:spt="75" type="#_x0000_t75" style="height:36.3pt;width:115.2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56" DrawAspect="Content" ObjectID="_1468075748" r:id="rId54">
            <o:LockedField>false</o:LockedField>
          </o:OLEObject>
        </w:object>
      </w:r>
    </w:p>
    <w:p>
      <w:pPr>
        <w:pStyle w:val="41"/>
      </w:pPr>
      <w:r>
        <w:rPr>
          <w:rFonts w:hint="eastAsia"/>
        </w:rPr>
        <w:t>将</w:t>
      </w:r>
      <w:r>
        <w:t>参数代入上</w:t>
      </w:r>
      <w:r>
        <w:rPr>
          <w:rFonts w:hint="eastAsia" w:eastAsiaTheme="minorEastAsia"/>
          <w:szCs w:val="22"/>
        </w:rPr>
        <w:t>式，</w:t>
      </w:r>
      <w:r>
        <w:rPr>
          <w:position w:val="-6"/>
        </w:rPr>
        <w:object>
          <v:shape id="_x0000_i1057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57" DrawAspect="Content" ObjectID="_1468075749" r:id="rId56">
            <o:LockedField>false</o:LockedField>
          </o:OLEObject>
        </w:object>
      </w:r>
      <w:r>
        <w:t>=</w:t>
      </w:r>
      <w:bookmarkStart w:id="69" w:name="θ_c"/>
      <w:r>
        <w:rPr>
          <w:rFonts w:hint="eastAsia"/>
        </w:rPr>
        <w:t>10.03</w:t>
      </w:r>
    </w:p>
    <w:p>
      <w:pPr>
        <w:pStyle w:val="5"/>
        <w:ind w:right="1470"/>
      </w:pPr>
      <w:r>
        <w:rPr>
          <w:rStyle w:val="32"/>
          <w:rFonts w:hint="eastAsia"/>
          <w:b/>
          <w:bCs w:val="0"/>
        </w:rPr>
        <w:t>围护结构冷凝受潮验算</w:t>
      </w:r>
    </w:p>
    <w:tbl>
      <w:tblPr>
        <w:tblStyle w:val="20"/>
        <w:tblW w:w="937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2693"/>
        <w:gridCol w:w="1374"/>
        <w:gridCol w:w="26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object>
                <v:shape id="_x0000_i1058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DSMT4" ShapeID="_x0000_i1058" DrawAspect="Content" ObjectID="_1468075750" r:id="rId57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object>
                <v:shape id="_x0000_i1059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DSMT4" ShapeID="_x0000_i1059" DrawAspect="Content" ObjectID="_1468075751" r:id="rId58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冷凝计算界面内侧实际的蒸汽渗透阻(㎡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0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17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1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70" w:name="H_o_i"/>
            <w:r>
              <w:rPr>
                <w:rFonts w:hint="eastAsia"/>
              </w:rPr>
              <w:t>1267</w:t>
            </w:r>
          </w:p>
        </w:tc>
        <w:tc>
          <w:tcPr>
            <w:tcW w:w="2678" w:type="dxa"/>
            <w:vAlign w:val="center"/>
          </w:tcPr>
          <w:p>
            <w:r>
              <w:rPr>
                <w:rFonts w:hint="eastAsia"/>
              </w:rPr>
              <w:t>应</w:t>
            </w:r>
            <w:r>
              <w:t>≥</w:t>
            </w:r>
            <w:r>
              <w:rPr>
                <w:rFonts w:hint="eastAsia"/>
              </w:rPr>
              <w:t>限值(</w:t>
            </w:r>
            <w:bookmarkStart w:id="71" w:name="H_o_i_l"/>
            <w:r>
              <w:t>2)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>
            <w:r>
              <w:rPr>
                <w:position w:val="-6"/>
              </w:rPr>
              <w:object>
                <v:shape id="_x0000_i1064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64" DrawAspect="Content" ObjectID="_1468075752" r:id="rId59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object>
                <v:shape id="_x0000_i1065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65" DrawAspect="Content" ObjectID="_1468075753" r:id="rId60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冷凝计算界面至围护结构外表面之间的蒸汽渗透阻(㎡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6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19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20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72" w:name="H_o_e"/>
            <w:r>
              <w:rPr>
                <w:rFonts w:hint="eastAsia"/>
              </w:rPr>
              <w:t>200.40</w:t>
            </w:r>
          </w:p>
        </w:tc>
        <w:tc>
          <w:tcPr>
            <w:tcW w:w="2678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>
            <w:r>
              <w:rPr>
                <w:position w:val="-6"/>
              </w:rPr>
              <w:object>
                <v:shape id="_x0000_i1070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  <o:OLEObject Type="Embed" ProgID="Equation.DSMT4" ShapeID="_x0000_i1070" DrawAspect="Content" ObjectID="_1468075754" r:id="rId61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object>
                <v:shape id="_x0000_i1071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  <o:OLEObject Type="Embed" ProgID="Equation.DSMT4" ShapeID="_x0000_i1071" DrawAspect="Content" ObjectID="_1468075755" r:id="rId62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73" w:name="Pi"/>
            <w:r>
              <w:rPr>
                <w:rFonts w:hint="eastAsia"/>
              </w:rPr>
              <w:t>1237.20</w:t>
            </w:r>
          </w:p>
        </w:tc>
        <w:tc>
          <w:tcPr>
            <w:tcW w:w="2678" w:type="dxa"/>
            <w:vAlign w:val="center"/>
          </w:tcPr>
          <w:p>
            <w:r>
              <w:rPr>
                <w:rFonts w:hint="eastAsia" w:ascii="宋体" w:cs="宋体"/>
                <w:kern w:val="0"/>
                <w:szCs w:val="21"/>
              </w:rPr>
              <w:t>根据室内计算温度和相对湿度确定。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>
            <w:r>
              <w:rPr>
                <w:position w:val="-6"/>
              </w:rPr>
              <w:object>
                <v:shape id="_x0000_i1072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DSMT4" ShapeID="_x0000_i1072" DrawAspect="Content" ObjectID="_1468075756" r:id="rId63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object>
                <v:shape id="_x0000_i1073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DSMT4" ShapeID="_x0000_i1073" DrawAspect="Content" ObjectID="_1468075757" r:id="rId64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74" w:name="Pe"/>
            <w:r>
              <w:rPr>
                <w:rFonts w:hint="eastAsia"/>
              </w:rPr>
              <w:t>416.67</w:t>
            </w:r>
          </w:p>
        </w:tc>
        <w:tc>
          <w:tcPr>
            <w:tcW w:w="2678" w:type="dxa"/>
            <w:vAlign w:val="center"/>
          </w:tcPr>
          <w:p>
            <w:r>
              <w:rPr>
                <w:rFonts w:hint="eastAsia" w:ascii="宋体" w:cs="宋体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hint="eastAsia" w:ascii="宋体" w:cs="宋体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>
            <w:r>
              <w:rPr>
                <w:position w:val="-6"/>
              </w:rPr>
              <w:object>
                <v:shape id="_x0000_i1074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DSMT4" ShapeID="_x0000_i1074" DrawAspect="Content" ObjectID="_1468075758" r:id="rId65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object>
                <v:shape id="_x0000_i1075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DSMT4" ShapeID="_x0000_i1075" DrawAspect="Content" ObjectID="_1468075759" r:id="rId66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object>
                <v:shape id="_x0000_i1076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  <o:OLEObject Type="Embed" ProgID="Equation.DSMT4" ShapeID="_x0000_i1076" DrawAspect="Content" ObjectID="_1468075760" r:id="rId67">
                  <o:LockedField>false</o:LockedField>
                </o:OLEObject>
              </w:obje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75" w:name="Psc"/>
            <w:r>
              <w:rPr>
                <w:rFonts w:hint="eastAsia"/>
              </w:rPr>
              <w:t>1229.40</w:t>
            </w:r>
          </w:p>
        </w:tc>
        <w:tc>
          <w:tcPr>
            <w:tcW w:w="2678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>
            <w:r>
              <w:rPr>
                <w:position w:val="-10"/>
              </w:rPr>
              <w:object>
                <v:shape id="_x0000_i1077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DSMT4" ShapeID="_x0000_i1077" DrawAspect="Content" ObjectID="_1468075761" r:id="rId68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10"/>
              </w:rPr>
              <w:object>
                <v:shape id="_x0000_i1078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DSMT4" ShapeID="_x0000_i1078" DrawAspect="Content" ObjectID="_1468075762" r:id="rId69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保温材料的干密度(kg/m</w:t>
            </w:r>
            <w:r>
              <w:rPr>
                <w:rFonts w:hint="eastAsia" w:asci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76" w:name="ρ"/>
            <w:r>
              <w:rPr>
                <w:rFonts w:hint="eastAsia"/>
              </w:rPr>
              <w:t>95.00</w:t>
            </w:r>
          </w:p>
        </w:tc>
        <w:tc>
          <w:tcPr>
            <w:tcW w:w="2678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</w:tcPr>
          <w:p>
            <w:r>
              <w:rPr>
                <w:position w:val="-6"/>
              </w:rPr>
              <w:object>
                <v:shape id="_x0000_i1079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  <o:OLEObject Type="Embed" ProgID="Equation.DSMT4" ShapeID="_x0000_i1079" DrawAspect="Content" ObjectID="_1468075763" r:id="rId70">
                  <o:LockedField>false</o:LockedField>
                </o:OLEObject>
              </w:object>
            </w:r>
          </w:p>
        </w:tc>
        <w:tc>
          <w:tcPr>
            <w:tcW w:w="2693" w:type="dxa"/>
          </w:tcPr>
          <w:p>
            <w:r>
              <w:rPr>
                <w:position w:val="-6"/>
              </w:rPr>
              <w:object>
                <v:shape id="_x0000_i1080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  <o:OLEObject Type="Embed" ProgID="Equation.DSMT4" ShapeID="_x0000_i1080" DrawAspect="Content" ObjectID="_1468075764" r:id="rId71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77" w:name="δi"/>
            <w:r>
              <w:rPr>
                <w:rFonts w:hint="eastAsia"/>
              </w:rPr>
              <w:t>0.04</w:t>
            </w:r>
          </w:p>
        </w:tc>
        <w:tc>
          <w:tcPr>
            <w:tcW w:w="2678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>
            <w:r>
              <w:rPr>
                <w:position w:val="-28"/>
              </w:rPr>
              <w:object>
                <v:shape id="_x0000_i1081" o:spt="75" type="#_x0000_t75" style="height:43.2pt;width:122.7pt;" o:ole="t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  <o:OLEObject Type="Embed" ProgID="Equation.DSMT4" ShapeID="_x0000_i1081" DrawAspect="Content" ObjectID="_1468075765" r:id="rId72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10"/>
              </w:rPr>
              <w:object>
                <v:shape id="_x0000_i1082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  <o:OLEObject Type="Embed" ProgID="Equation.DSMT4" ShapeID="_x0000_i1082" DrawAspect="Content" ObjectID="_1468075766" r:id="rId73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78" w:name="ω_l"/>
            <w:r>
              <w:rPr>
                <w:rFonts w:hint="eastAsia"/>
              </w:rPr>
              <w:t>0.00</w:t>
            </w:r>
          </w:p>
        </w:tc>
        <w:tc>
          <w:tcPr>
            <w:tcW w:w="2678" w:type="dxa"/>
            <w:vAlign w:val="center"/>
          </w:tcPr>
          <w:p>
            <w:r>
              <w:rPr>
                <w:rFonts w:hint="eastAsia"/>
              </w:rPr>
              <w:t>应≤增量限值</w:t>
            </w:r>
            <w:r>
              <w:rPr>
                <w:rFonts w:hint="eastAsia" w:ascii="宋体" w:cs="宋体"/>
                <w:kern w:val="0"/>
                <w:szCs w:val="21"/>
              </w:rPr>
              <w:t>(%)</w:t>
            </w:r>
            <w:r>
              <w:rPr>
                <w:rFonts w:hint="eastAsia"/>
              </w:rPr>
              <w:t>=</w:t>
            </w:r>
            <w:bookmarkStart w:id="79" w:name="ω"/>
            <w:r>
              <w:rPr>
                <w:rFonts w:hint="eastAsia"/>
              </w:rPr>
              <w:t>7.00</w:t>
            </w:r>
          </w:p>
        </w:tc>
      </w:tr>
    </w:tbl>
    <w:p>
      <w:pPr>
        <w:widowControl/>
        <w:jc w:val="left"/>
      </w:pPr>
    </w:p>
    <w:p>
      <w:pPr>
        <w:pStyle w:val="4"/>
        <w:spacing w:line="240" w:lineRule="atLeast"/>
        <w:rPr>
          <w:kern w:val="2"/>
        </w:rPr>
      </w:pPr>
      <w:bookmarkStart w:id="80" w:name="_Toc19725"/>
      <w:r>
        <w:rPr>
          <w:rFonts w:hint="eastAsia"/>
          <w:kern w:val="2"/>
        </w:rPr>
        <w:t>外墙（填充墙）</w:t>
      </w:r>
      <w:bookmarkEnd w:id="62"/>
      <w:r>
        <w:rPr>
          <w:rFonts w:hint="eastAsia"/>
          <w:kern w:val="2"/>
        </w:rPr>
        <w:t>构造：外墙构造一砼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bookmarkEnd w:id="63"/>
      <w:bookmarkEnd w:id="65"/>
      <w:bookmarkEnd w:id="80"/>
    </w:p>
    <w:tbl>
      <w:tblPr>
        <w:tblStyle w:val="20"/>
        <w:tblW w:w="948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 w:type="textWrapping"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vAlign w:val="center"/>
          </w:tcPr>
          <w:p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5"/>
              </w:rP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5"/>
              </w:rP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5"/>
              </w:rPr>
              <w:t>g</w:t>
            </w:r>
            <w:r>
              <w:rPr>
                <w:rFonts w:hint="eastAsia"/>
                <w:sz w:val="15"/>
              </w:rPr>
              <w:t>/(m</w:t>
            </w:r>
            <w:r>
              <w:rPr>
                <w:sz w:val="15"/>
              </w:rPr>
              <w:t>.</w:t>
            </w:r>
            <w:r>
              <w:rPr>
                <w:rFonts w:hint="eastAsia"/>
                <w:sz w:val="15"/>
              </w:rPr>
              <w:t>h.</w:t>
            </w:r>
            <w:r>
              <w:rPr>
                <w:sz w:val="15"/>
              </w:rPr>
              <w:t>K</w:t>
            </w:r>
            <w:r>
              <w:rPr>
                <w:rFonts w:hint="eastAsia"/>
                <w:sz w:val="15"/>
              </w:rPr>
              <w:t>Pa</w:t>
            </w:r>
            <w:r>
              <w:rPr>
                <w:sz w:val="15"/>
              </w:rPr>
              <w:t>)</w:t>
            </w:r>
          </w:p>
        </w:tc>
        <w:tc>
          <w:tcPr>
            <w:tcW w:w="99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㎡</w:t>
            </w:r>
            <w:r>
              <w:rPr>
                <w:sz w:val="15"/>
              </w:rPr>
              <w:t>K)/W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加气混凝土、泡沫混凝土(ρ=700)(1)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0.190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500.00</w:t>
            </w:r>
          </w:p>
        </w:tc>
        <w:tc>
          <w:tcPr>
            <w:tcW w:w="1559" w:type="dxa"/>
            <w:vAlign w:val="center"/>
          </w:tcPr>
          <w:p>
            <w:r>
              <w:t>0.0998</w:t>
            </w:r>
          </w:p>
        </w:tc>
        <w:tc>
          <w:tcPr>
            <w:tcW w:w="993" w:type="dxa"/>
            <w:vAlign w:val="center"/>
          </w:tcPr>
          <w:p>
            <w:r>
              <w:t>0.105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保温砂浆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0.290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800.00</w:t>
            </w:r>
          </w:p>
        </w:tc>
        <w:tc>
          <w:tcPr>
            <w:tcW w:w="1559" w:type="dxa"/>
            <w:vAlign w:val="center"/>
          </w:tcPr>
          <w:p>
            <w:r>
              <w:t>0.0000</w:t>
            </w:r>
          </w:p>
        </w:tc>
        <w:tc>
          <w:tcPr>
            <w:tcW w:w="993" w:type="dxa"/>
            <w:vAlign w:val="center"/>
          </w:tcPr>
          <w:p>
            <w:r>
              <w:t>0.069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矿棉、岩棉、玻璃棉松散料(ρ=70-120)</w:t>
            </w:r>
          </w:p>
        </w:tc>
        <w:tc>
          <w:tcPr>
            <w:tcW w:w="848" w:type="dxa"/>
            <w:vAlign w:val="center"/>
          </w:tcPr>
          <w:p>
            <w:r>
              <w:t>100</w:t>
            </w:r>
          </w:p>
        </w:tc>
        <w:tc>
          <w:tcPr>
            <w:tcW w:w="1075" w:type="dxa"/>
            <w:vAlign w:val="center"/>
          </w:tcPr>
          <w:p>
            <w:r>
              <w:t>0.045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95.00</w:t>
            </w:r>
          </w:p>
        </w:tc>
        <w:tc>
          <w:tcPr>
            <w:tcW w:w="1559" w:type="dxa"/>
            <w:vAlign w:val="center"/>
          </w:tcPr>
          <w:p>
            <w:r>
              <w:t>0.4880</w:t>
            </w:r>
          </w:p>
        </w:tc>
        <w:tc>
          <w:tcPr>
            <w:tcW w:w="993" w:type="dxa"/>
            <w:vAlign w:val="center"/>
          </w:tcPr>
          <w:p>
            <w:r>
              <w:t>2.222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沥青、乳化沥青膨胀珍珠岩(ρ=300)</w:t>
            </w:r>
          </w:p>
        </w:tc>
        <w:tc>
          <w:tcPr>
            <w:tcW w:w="848" w:type="dxa"/>
            <w:vAlign w:val="center"/>
          </w:tcPr>
          <w:p>
            <w:r>
              <w:t>80</w:t>
            </w:r>
          </w:p>
        </w:tc>
        <w:tc>
          <w:tcPr>
            <w:tcW w:w="1075" w:type="dxa"/>
            <w:vAlign w:val="center"/>
          </w:tcPr>
          <w:p>
            <w:r>
              <w:t>0.093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300.00</w:t>
            </w:r>
          </w:p>
        </w:tc>
        <w:tc>
          <w:tcPr>
            <w:tcW w:w="1559" w:type="dxa"/>
            <w:vAlign w:val="center"/>
          </w:tcPr>
          <w:p>
            <w:r>
              <w:t>0.0675</w:t>
            </w:r>
          </w:p>
        </w:tc>
        <w:tc>
          <w:tcPr>
            <w:tcW w:w="993" w:type="dxa"/>
            <w:vAlign w:val="center"/>
          </w:tcPr>
          <w:p>
            <w:r>
              <w:t>0.860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加气混凝土、泡沫混凝土(ρ=700)(1)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0.190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500.00</w:t>
            </w:r>
          </w:p>
        </w:tc>
        <w:tc>
          <w:tcPr>
            <w:tcW w:w="1559" w:type="dxa"/>
            <w:vAlign w:val="center"/>
          </w:tcPr>
          <w:p>
            <w:r>
              <w:t>0.0998</w:t>
            </w:r>
          </w:p>
        </w:tc>
        <w:tc>
          <w:tcPr>
            <w:tcW w:w="993" w:type="dxa"/>
            <w:vAlign w:val="center"/>
          </w:tcPr>
          <w:p>
            <w:r>
              <w:t>0.105</w:t>
            </w:r>
          </w:p>
        </w:tc>
      </w:tr>
      <w:bookmarkEnd w:id="66"/>
    </w:tbl>
    <w:p>
      <w:pPr>
        <w:pStyle w:val="5"/>
      </w:pPr>
      <w:r>
        <w:t>围护结构冷凝受潮计算表</w:t>
      </w:r>
    </w:p>
    <w:tbl>
      <w:tblPr>
        <w:tblStyle w:val="20"/>
        <w:tblW w:w="962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305"/>
        <w:gridCol w:w="708"/>
        <w:gridCol w:w="709"/>
        <w:gridCol w:w="680"/>
        <w:gridCol w:w="851"/>
        <w:gridCol w:w="850"/>
        <w:gridCol w:w="851"/>
        <w:gridCol w:w="708"/>
        <w:gridCol w:w="709"/>
        <w:gridCol w:w="709"/>
        <w:gridCol w:w="8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94" w:type="dxa"/>
            <w:shd w:val="clear" w:color="auto" w:fill="E6E6E6"/>
            <w:vAlign w:val="center"/>
          </w:tcPr>
          <w:p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  <w:kern w:val="0"/>
                <w:szCs w:val="20"/>
                <w:lang w:val="en-GB"/>
              </w:rPr>
              <w:t>序号</w:t>
            </w:r>
          </w:p>
        </w:tc>
        <w:tc>
          <w:tcPr>
            <w:tcW w:w="130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0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δ</w:t>
            </w:r>
          </w:p>
          <w:p>
            <w:pPr>
              <w:jc w:val="center"/>
            </w:pPr>
            <w:r>
              <w:rPr>
                <w:rFonts w:hint="eastAsia"/>
              </w:rPr>
              <w:t>厚度</w:t>
            </w:r>
          </w:p>
          <w:p>
            <w:pPr>
              <w:jc w:val="center"/>
            </w:pPr>
            <w:r>
              <w:rPr>
                <w:rFonts w:hint="eastAsia"/>
                <w:sz w:val="15"/>
              </w:rPr>
              <w:t>(mm)</w:t>
            </w:r>
          </w:p>
        </w:tc>
        <w:tc>
          <w:tcPr>
            <w:tcW w:w="70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ρ</w:t>
            </w:r>
          </w:p>
          <w:p>
            <w:pPr>
              <w:jc w:val="center"/>
            </w:pPr>
            <w:r>
              <w:rPr>
                <w:rFonts w:hint="eastAsia"/>
              </w:rPr>
              <w:t>密度</w:t>
            </w:r>
          </w:p>
          <w:p>
            <w:pPr>
              <w:jc w:val="center"/>
            </w:pPr>
            <w:r>
              <w:rPr>
                <w:rFonts w:hint="eastAsia"/>
                <w:sz w:val="15"/>
              </w:rPr>
              <w:t>(kg/m3)</w:t>
            </w:r>
          </w:p>
        </w:tc>
        <w:tc>
          <w:tcPr>
            <w:tcW w:w="680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θi</w:t>
            </w:r>
          </w:p>
          <w:p>
            <w:pPr>
              <w:jc w:val="center"/>
            </w:pPr>
            <w:r>
              <w:rPr>
                <w:rFonts w:hint="eastAsia"/>
              </w:rPr>
              <w:t>温度</w:t>
            </w:r>
          </w:p>
          <w:p>
            <w:pPr>
              <w:jc w:val="center"/>
            </w:pPr>
            <w:r>
              <w:rPr>
                <w:rFonts w:hint="eastAsia"/>
                <w:sz w:val="15"/>
              </w:rPr>
              <w:t>(℃)</w:t>
            </w:r>
          </w:p>
        </w:tc>
        <w:tc>
          <w:tcPr>
            <w:tcW w:w="851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Pb</w:t>
            </w:r>
          </w:p>
          <w:p>
            <w:pPr>
              <w:jc w:val="center"/>
            </w:pPr>
            <w:r>
              <w:rPr>
                <w:rFonts w:hint="eastAsia"/>
              </w:rPr>
              <w:t>饱和水蒸汽分压力</w:t>
            </w:r>
          </w:p>
          <w:p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0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Ps</w:t>
            </w:r>
          </w:p>
          <w:p>
            <w:pPr>
              <w:jc w:val="center"/>
            </w:pPr>
            <w:r>
              <w:rPr>
                <w:rFonts w:hint="eastAsia"/>
              </w:rPr>
              <w:t>水蒸汽分压力</w:t>
            </w:r>
          </w:p>
          <w:p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1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λ</w:t>
            </w:r>
          </w:p>
          <w:p>
            <w:pPr>
              <w:jc w:val="center"/>
            </w:pPr>
            <w:r>
              <w:rPr>
                <w:rFonts w:hint="eastAsia"/>
              </w:rPr>
              <w:t>导热</w:t>
            </w:r>
          </w:p>
          <w:p>
            <w:pPr>
              <w:jc w:val="center"/>
            </w:pPr>
            <w:r>
              <w:rPr>
                <w:rFonts w:hint="eastAsia"/>
              </w:rPr>
              <w:t>系数</w:t>
            </w:r>
          </w:p>
          <w:p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70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α</w:t>
            </w:r>
          </w:p>
          <w:p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70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R</w:t>
            </w:r>
          </w:p>
          <w:p>
            <w:pPr>
              <w:jc w:val="center"/>
            </w:pPr>
            <w:r>
              <w:rPr>
                <w:rFonts w:hint="eastAsia"/>
              </w:rPr>
              <w:t>热阻</w:t>
            </w:r>
            <w:r>
              <w:rPr>
                <w:rFonts w:hint="eastAsia"/>
                <w:sz w:val="15"/>
              </w:rPr>
              <w:t>(m2.k/W)</w:t>
            </w:r>
          </w:p>
        </w:tc>
        <w:tc>
          <w:tcPr>
            <w:tcW w:w="70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μ</w:t>
            </w:r>
          </w:p>
          <w:p>
            <w:pPr>
              <w:jc w:val="center"/>
            </w:pPr>
            <w:r>
              <w:rPr>
                <w:rFonts w:hint="eastAsia"/>
              </w:rPr>
              <w:t>蒸汽渗透系数</w:t>
            </w:r>
            <w:r>
              <w:rPr>
                <w:rFonts w:hint="eastAsia"/>
                <w:sz w:val="15"/>
              </w:rPr>
              <w:t>g/(m.h.kPa)</w:t>
            </w:r>
          </w:p>
        </w:tc>
        <w:tc>
          <w:tcPr>
            <w:tcW w:w="850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H</w:t>
            </w:r>
          </w:p>
          <w:p>
            <w:pPr>
              <w:jc w:val="center"/>
            </w:pPr>
            <w:r>
              <w:rPr>
                <w:rFonts w:hint="eastAsia"/>
              </w:rPr>
              <w:t>蒸汽渗透阻</w:t>
            </w:r>
          </w:p>
          <w:p>
            <w:pPr>
              <w:jc w:val="center"/>
            </w:pPr>
            <w:r>
              <w:rPr>
                <w:rFonts w:hint="eastAsia"/>
                <w:sz w:val="15"/>
              </w:rPr>
              <w:t>(m2.h.Pa/g)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室外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right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2.50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731.0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416.7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室外换热层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0.04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2.6667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外表面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2.66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739.5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417.9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加气混凝土、泡沫混凝土(ρ=700)(1)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500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0.19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0.11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0.0998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200.40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0~1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3.13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764.2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509.2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保温砂浆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0.29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0.07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0.0000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1~2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3.43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781.2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509.2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矿棉、岩棉、玻璃棉松散料(ρ=70-120)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95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2.22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0.4880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204.92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2~3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13.25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1524.2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602.5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沥青、乳化沥青膨胀珍珠岩(ρ=300)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80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300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0.09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0.86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0.0675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1185.19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3~4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17.05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1942.2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1142.3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加气混凝土、泡沫混凝土(ρ=700)(1)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500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0.19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0.11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0.0998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200.40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内表面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17.51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2000.8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1233.6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室内换热层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0.11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7.9808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室内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18.00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2062.0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1237.2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bookmarkEnd w:id="67"/>
    </w:tbl>
    <w:p>
      <w:pPr>
        <w:pStyle w:val="5"/>
      </w:pPr>
      <w:r>
        <w:rPr>
          <w:rFonts w:hint="eastAsia"/>
        </w:rPr>
        <w:t>冷凝计算界面至围护结构内表面之间的热阻</w:t>
      </w:r>
      <w:r>
        <w:pict>
          <v:shape id="_x0000_i1083" o:spt="75" type="#_x0000_t75" style="height:14.4pt;width:21.9pt;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</w:pict>
      </w:r>
    </w:p>
    <w:p>
      <w:pPr>
        <w:pStyle w:val="41"/>
      </w:pPr>
      <w:r>
        <w:rPr>
          <w:rFonts w:hint="eastAsia"/>
        </w:rPr>
        <w:t>围护结构冷凝计算界面的位置，应取保温层与外侧密实材料层的交界处。</w:t>
      </w:r>
      <w:r>
        <w:rPr>
          <w:b/>
          <w:bCs/>
        </w:rPr>
        <w:pict>
          <v:shape id="_x0000_i1084" o:spt="75" type="#_x0000_t75" style="height:14.4pt;width:21.9pt;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</w:pict>
      </w:r>
      <w:r>
        <w:rPr>
          <w:b/>
          <w:bCs/>
        </w:rPr>
        <w:t>=</w:t>
      </w:r>
      <w:r>
        <w:rPr>
          <w:rFonts w:hint="eastAsia"/>
        </w:rPr>
        <w:t>3.19</w:t>
      </w:r>
      <w:bookmarkEnd w:id="68"/>
    </w:p>
    <w:p>
      <w:pPr>
        <w:pStyle w:val="5"/>
        <w:ind w:right="1470"/>
      </w:pPr>
      <w:r>
        <w:rPr>
          <w:rFonts w:hint="eastAsia"/>
        </w:rPr>
        <w:t>冷凝计算界面温度</w:t>
      </w:r>
      <w:r>
        <w:rPr>
          <w:position w:val="-6"/>
        </w:rPr>
        <w:pict>
          <v:shape id="_x0000_i1085" o:spt="75" type="#_x0000_t75" style="height:14.4pt;width:14.4pt;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</w:pict>
      </w:r>
    </w:p>
    <w:p>
      <w:pPr>
        <w:jc w:val="center"/>
      </w:pPr>
      <w:r>
        <w:pict>
          <v:shape id="_x0000_i1086" o:spt="75" type="#_x0000_t75" style="height:36.3pt;width:115.2pt;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</w:pict>
      </w:r>
    </w:p>
    <w:p>
      <w:pPr>
        <w:pStyle w:val="41"/>
      </w:pPr>
      <w:r>
        <w:rPr>
          <w:rFonts w:hint="eastAsia"/>
        </w:rPr>
        <w:t>将</w:t>
      </w:r>
      <w:r>
        <w:t>参数代入上</w:t>
      </w:r>
      <w:r>
        <w:rPr>
          <w:rFonts w:hint="eastAsia" w:eastAsiaTheme="minorEastAsia"/>
          <w:szCs w:val="22"/>
        </w:rPr>
        <w:t>式，</w:t>
      </w:r>
      <w:r>
        <w:rPr>
          <w:position w:val="-6"/>
        </w:rPr>
        <w:pict>
          <v:shape id="_x0000_i1087" o:spt="75" type="#_x0000_t75" style="height:14.4pt;width:14.4pt;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</w:pict>
      </w:r>
      <w:r>
        <w:t>=</w:t>
      </w:r>
      <w:r>
        <w:rPr>
          <w:rFonts w:hint="eastAsia"/>
        </w:rPr>
        <w:t>3.45</w:t>
      </w:r>
      <w:bookmarkEnd w:id="69"/>
    </w:p>
    <w:p>
      <w:pPr>
        <w:pStyle w:val="5"/>
        <w:ind w:right="1470"/>
      </w:pPr>
      <w:r>
        <w:rPr>
          <w:rStyle w:val="32"/>
          <w:rFonts w:hint="eastAsia"/>
          <w:b/>
          <w:bCs w:val="0"/>
        </w:rPr>
        <w:t>围护结构冷凝受潮验算</w:t>
      </w:r>
    </w:p>
    <w:tbl>
      <w:tblPr>
        <w:tblStyle w:val="20"/>
        <w:tblW w:w="937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2693"/>
        <w:gridCol w:w="1374"/>
        <w:gridCol w:w="26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>
                <v:shape id="_x0000_i1088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089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冷凝计算界面内侧实际的蒸汽渗透阻(㎡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0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21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2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1591</w:t>
            </w:r>
            <w:bookmarkEnd w:id="70"/>
          </w:p>
        </w:tc>
        <w:tc>
          <w:tcPr>
            <w:tcW w:w="2678" w:type="dxa"/>
            <w:vAlign w:val="center"/>
          </w:tcPr>
          <w:p>
            <w:r>
              <w:rPr>
                <w:rFonts w:hint="eastAsia"/>
              </w:rPr>
              <w:t>应</w:t>
            </w:r>
            <w:r>
              <w:t>≥</w:t>
            </w:r>
            <w:r>
              <w:rPr>
                <w:rFonts w:hint="eastAsia"/>
              </w:rPr>
              <w:t>限值(</w:t>
            </w:r>
            <w:r>
              <w:t>222</w:t>
            </w:r>
            <w:bookmarkEnd w:id="71"/>
            <w: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>
            <w:r>
              <w:rPr>
                <w:position w:val="-6"/>
              </w:rPr>
              <w:pict>
                <v:shape id="_x0000_i1094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095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冷凝计算界面至围护结构外表面之间的蒸汽渗透阻(㎡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6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23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24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200.40</w:t>
            </w:r>
            <w:bookmarkEnd w:id="72"/>
          </w:p>
        </w:tc>
        <w:tc>
          <w:tcPr>
            <w:tcW w:w="2678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>
            <w:r>
              <w:rPr>
                <w:position w:val="-6"/>
              </w:rPr>
              <w:pict>
                <v:shape id="_x0000_i1100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01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1237.20</w:t>
            </w:r>
            <w:bookmarkEnd w:id="73"/>
          </w:p>
        </w:tc>
        <w:tc>
          <w:tcPr>
            <w:tcW w:w="2678" w:type="dxa"/>
            <w:vAlign w:val="center"/>
          </w:tcPr>
          <w:p>
            <w:r>
              <w:rPr>
                <w:rFonts w:hint="eastAsia" w:ascii="宋体" w:cs="宋体"/>
                <w:kern w:val="0"/>
                <w:szCs w:val="21"/>
              </w:rPr>
              <w:t>根据室内计算温度和相对湿度确定。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>
            <w:r>
              <w:rPr>
                <w:position w:val="-6"/>
              </w:rPr>
              <w:pict>
                <v:shape id="_x0000_i1102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03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416.67</w:t>
            </w:r>
            <w:bookmarkEnd w:id="74"/>
          </w:p>
        </w:tc>
        <w:tc>
          <w:tcPr>
            <w:tcW w:w="2678" w:type="dxa"/>
            <w:vAlign w:val="center"/>
          </w:tcPr>
          <w:p>
            <w:r>
              <w:rPr>
                <w:rFonts w:hint="eastAsia" w:ascii="宋体" w:cs="宋体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hint="eastAsia" w:ascii="宋体" w:cs="宋体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>
            <w:r>
              <w:rPr>
                <w:position w:val="-6"/>
              </w:rPr>
              <w:pict>
                <v:shape id="_x0000_i1104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05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>
                <v:shape id="_x0000_i1106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781.95</w:t>
            </w:r>
            <w:bookmarkEnd w:id="75"/>
          </w:p>
        </w:tc>
        <w:tc>
          <w:tcPr>
            <w:tcW w:w="2678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>
            <w:r>
              <w:rPr>
                <w:position w:val="-10"/>
              </w:rPr>
              <w:pict>
                <v:shape id="_x0000_i1107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10"/>
              </w:rPr>
              <w:pict>
                <v:shape id="_x0000_i1108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保温材料的干密度(kg/m</w:t>
            </w:r>
            <w:r>
              <w:rPr>
                <w:rFonts w:hint="eastAsia" w:asci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95.00</w:t>
            </w:r>
            <w:bookmarkEnd w:id="76"/>
          </w:p>
        </w:tc>
        <w:tc>
          <w:tcPr>
            <w:tcW w:w="2678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</w:tcPr>
          <w:p>
            <w:r>
              <w:rPr>
                <w:position w:val="-6"/>
              </w:rPr>
              <w:pict>
                <v:shape id="_x0000_i1109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</w:tcPr>
          <w:p>
            <w:r>
              <w:rPr>
                <w:position w:val="-6"/>
              </w:rPr>
              <w:pict>
                <v:shape id="_x0000_i1110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0.10</w:t>
            </w:r>
            <w:bookmarkEnd w:id="77"/>
          </w:p>
        </w:tc>
        <w:tc>
          <w:tcPr>
            <w:tcW w:w="2678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>
            <w:r>
              <w:rPr>
                <w:position w:val="-28"/>
              </w:rPr>
              <w:pict>
                <v:shape id="_x0000_i1111" o:spt="75" type="#_x0000_t75" style="height:43.2pt;width:122.7pt;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10"/>
              </w:rPr>
              <w:pict>
                <v:shape id="_x0000_i1112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0.00</w:t>
            </w:r>
            <w:bookmarkEnd w:id="78"/>
          </w:p>
        </w:tc>
        <w:tc>
          <w:tcPr>
            <w:tcW w:w="2678" w:type="dxa"/>
            <w:vAlign w:val="center"/>
          </w:tcPr>
          <w:p>
            <w:r>
              <w:rPr>
                <w:rFonts w:hint="eastAsia"/>
              </w:rPr>
              <w:t>应≤增量限值</w:t>
            </w:r>
            <w:r>
              <w:rPr>
                <w:rFonts w:hint="eastAsia" w:ascii="宋体" w:cs="宋体"/>
                <w:kern w:val="0"/>
                <w:szCs w:val="21"/>
              </w:rPr>
              <w:t>(%)</w:t>
            </w:r>
            <w:r>
              <w:rPr>
                <w:rFonts w:hint="eastAsia"/>
              </w:rPr>
              <w:t>=5.00</w:t>
            </w:r>
            <w:bookmarkEnd w:id="79"/>
          </w:p>
        </w:tc>
      </w:tr>
    </w:tbl>
    <w:p>
      <w:pPr>
        <w:widowControl/>
        <w:jc w:val="left"/>
      </w:pPr>
    </w:p>
    <w:bookmarkEnd w:id="64"/>
    <w:p>
      <w:pPr>
        <w:pStyle w:val="2"/>
        <w:widowControl/>
        <w:jc w:val="left"/>
      </w:pPr>
      <w:bookmarkStart w:id="81" w:name="_Toc20476"/>
      <w:r>
        <w:t>验算结论</w:t>
      </w:r>
      <w:bookmarkEnd w:id="81"/>
    </w:p>
    <w:tbl>
      <w:tblPr>
        <w:tblStyle w:val="20"/>
        <w:tblW w:w="913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3905"/>
        <w:gridCol w:w="707"/>
        <w:gridCol w:w="707"/>
        <w:gridCol w:w="905"/>
        <w:gridCol w:w="905"/>
        <w:gridCol w:w="9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DEDEDE"/>
            <w:vAlign w:val="center"/>
          </w:tcPr>
          <w:p>
            <w:r>
              <w:t>类型</w:t>
            </w:r>
          </w:p>
        </w:tc>
        <w:tc>
          <w:tcPr>
            <w:shd w:val="clear" w:color="auto" w:fill="DEDEDE"/>
            <w:vAlign w:val="center"/>
          </w:tcPr>
          <w:p>
            <w:r>
              <w:t>构造</w:t>
            </w:r>
          </w:p>
        </w:tc>
        <w:tc>
          <w:tcPr>
            <w:shd w:val="clear" w:color="auto" w:fill="DEDEDE"/>
            <w:vAlign w:val="center"/>
          </w:tcPr>
          <w:p>
            <w:r>
              <w:t>增量</w:t>
            </w:r>
            <w:r>
              <w:br w:type="textWrapping"/>
            </w:r>
            <w:r>
              <w:t>限值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DEDEDE"/>
            <w:vAlign w:val="center"/>
          </w:tcPr>
          <w:p>
            <w:r>
              <w:t>实际</w:t>
            </w:r>
            <w:r>
              <w:br w:type="textWrapping"/>
            </w:r>
            <w:r>
              <w:t>增量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DEDEDE"/>
            <w:vAlign w:val="center"/>
          </w:tcPr>
          <w:p>
            <w:r>
              <w:t>内侧蒸</w:t>
            </w:r>
            <w:r>
              <w:br w:type="textWrapping"/>
            </w:r>
            <w:r>
              <w:t>汽渗透</w:t>
            </w:r>
            <w:r>
              <w:br w:type="textWrapping"/>
            </w:r>
            <w:r>
              <w:t>阻限值</w:t>
            </w:r>
          </w:p>
        </w:tc>
        <w:tc>
          <w:tcPr>
            <w:shd w:val="clear" w:color="auto" w:fill="DEDEDE"/>
            <w:vAlign w:val="center"/>
          </w:tcPr>
          <w:p>
            <w:r>
              <w:t>内侧蒸</w:t>
            </w:r>
            <w:r>
              <w:br w:type="textWrapping"/>
            </w:r>
            <w:r>
              <w:t>汽渗透</w:t>
            </w:r>
            <w:r>
              <w:br w:type="textWrapping"/>
            </w:r>
            <w:r>
              <w:t>阻</w:t>
            </w:r>
          </w:p>
        </w:tc>
        <w:tc>
          <w:tcPr>
            <w:shd w:val="clear" w:color="auto" w:fill="DEDEDE"/>
            <w:vAlign w:val="center"/>
          </w:tcPr>
          <w:p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屋顶</w:t>
            </w:r>
          </w:p>
        </w:tc>
        <w:tc>
          <w:tcPr>
            <w:vAlign w:val="center"/>
          </w:tcPr>
          <w:p>
            <w:r>
              <w:t>屋顶构造一</w:t>
            </w:r>
          </w:p>
        </w:tc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1267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外墙（填充墙）</w:t>
            </w:r>
          </w:p>
        </w:tc>
        <w:tc>
          <w:tcPr>
            <w:vAlign w:val="center"/>
          </w:tcPr>
          <w:p>
            <w:r>
              <w:t>外墙构造一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222</w:t>
            </w:r>
          </w:p>
        </w:tc>
        <w:tc>
          <w:tcPr>
            <w:vAlign w:val="center"/>
          </w:tcPr>
          <w:p>
            <w:r>
              <w:t>1591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</w:tbl>
    <w:p>
      <w:pPr>
        <w:widowControl/>
        <w:jc w:val="left"/>
      </w:pPr>
    </w:p>
    <w:sectPr>
      <w:headerReference r:id="rId3" w:type="default"/>
      <w:footerReference r:id="rId4" w:type="default"/>
      <w:pgSz w:w="11906" w:h="16838"/>
      <w:pgMar w:top="1440" w:right="1440" w:bottom="1440" w:left="144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center"/>
    </w:pPr>
    <w:r>
      <w:rPr>
        <w:rFonts w:hint="eastAsia" w:ascii="宋体" w:hAnsi="宋体"/>
        <w:sz w:val="21"/>
        <w:szCs w:val="21"/>
      </w:rPr>
      <w:t xml:space="preserve">第 </w:t>
    </w:r>
    <w:r>
      <w:rPr>
        <w:rStyle w:val="23"/>
        <w:rFonts w:ascii="宋体" w:hAnsi="宋体"/>
        <w:sz w:val="21"/>
        <w:szCs w:val="21"/>
      </w:rPr>
      <w:fldChar w:fldCharType="begin"/>
    </w:r>
    <w:r>
      <w:rPr>
        <w:rStyle w:val="23"/>
        <w:rFonts w:ascii="宋体" w:hAnsi="宋体"/>
        <w:sz w:val="21"/>
        <w:szCs w:val="21"/>
      </w:rPr>
      <w:instrText xml:space="preserve"> PAGE </w:instrText>
    </w:r>
    <w:r>
      <w:rPr>
        <w:rStyle w:val="23"/>
        <w:rFonts w:ascii="宋体" w:hAnsi="宋体"/>
        <w:sz w:val="21"/>
        <w:szCs w:val="21"/>
      </w:rPr>
      <w:fldChar w:fldCharType="separate"/>
    </w:r>
    <w:r>
      <w:rPr>
        <w:rStyle w:val="23"/>
        <w:rFonts w:ascii="宋体" w:hAnsi="宋体"/>
        <w:sz w:val="21"/>
        <w:szCs w:val="21"/>
      </w:rPr>
      <w:t>6</w:t>
    </w:r>
    <w:r>
      <w:rPr>
        <w:rStyle w:val="23"/>
        <w:rFonts w:ascii="宋体" w:hAnsi="宋体"/>
        <w:sz w:val="21"/>
        <w:szCs w:val="21"/>
      </w:rPr>
      <w:fldChar w:fldCharType="end"/>
    </w:r>
    <w:r>
      <w:rPr>
        <w:rStyle w:val="23"/>
        <w:rFonts w:hint="eastAsia" w:ascii="宋体" w:hAnsi="宋体"/>
        <w:sz w:val="21"/>
        <w:szCs w:val="21"/>
      </w:rPr>
      <w:t xml:space="preserve"> / </w:t>
    </w:r>
    <w:r>
      <w:rPr>
        <w:rStyle w:val="23"/>
        <w:rFonts w:ascii="宋体" w:hAnsi="宋体"/>
        <w:sz w:val="21"/>
        <w:szCs w:val="21"/>
      </w:rPr>
      <w:fldChar w:fldCharType="begin"/>
    </w:r>
    <w:r>
      <w:rPr>
        <w:rStyle w:val="23"/>
        <w:rFonts w:ascii="宋体" w:hAnsi="宋体"/>
        <w:sz w:val="21"/>
        <w:szCs w:val="21"/>
      </w:rPr>
      <w:instrText xml:space="preserve"> NUMPAGES </w:instrText>
    </w:r>
    <w:r>
      <w:rPr>
        <w:rStyle w:val="23"/>
        <w:rFonts w:ascii="宋体" w:hAnsi="宋体"/>
        <w:sz w:val="21"/>
        <w:szCs w:val="21"/>
      </w:rPr>
      <w:fldChar w:fldCharType="separate"/>
    </w:r>
    <w:r>
      <w:rPr>
        <w:rStyle w:val="23"/>
        <w:rFonts w:ascii="宋体" w:hAnsi="宋体"/>
        <w:sz w:val="21"/>
        <w:szCs w:val="21"/>
      </w:rPr>
      <w:t>6</w:t>
    </w:r>
    <w:r>
      <w:rPr>
        <w:rStyle w:val="23"/>
        <w:rFonts w:ascii="宋体" w:hAnsi="宋体"/>
        <w:sz w:val="21"/>
        <w:szCs w:val="21"/>
      </w:rPr>
      <w:fldChar w:fldCharType="end"/>
    </w:r>
    <w:r>
      <w:rPr>
        <w:rStyle w:val="23"/>
        <w:rFonts w:hint="eastAsia" w:ascii="宋体" w:hAnsi="宋体"/>
        <w:sz w:val="21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both"/>
    </w:pPr>
    <w:r>
      <w:drawing>
        <wp:inline distT="0" distB="0" distL="0" distR="0">
          <wp:extent cx="866140" cy="251460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ascii="Times New Roman" w:hAnsi="Times New Roman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djZDJlMTk4NWI5ZGVjZjFjN2ZjODhhYTlmYTBhOTgifQ=="/>
  </w:docVars>
  <w:rsids>
    <w:rsidRoot w:val="3EA0027E"/>
    <w:rsid w:val="00004A0C"/>
    <w:rsid w:val="00006B6F"/>
    <w:rsid w:val="00006D9D"/>
    <w:rsid w:val="0000769E"/>
    <w:rsid w:val="00012F68"/>
    <w:rsid w:val="00014DB8"/>
    <w:rsid w:val="00042D27"/>
    <w:rsid w:val="00042FAF"/>
    <w:rsid w:val="00046531"/>
    <w:rsid w:val="00056D82"/>
    <w:rsid w:val="000571B1"/>
    <w:rsid w:val="000631C6"/>
    <w:rsid w:val="00064694"/>
    <w:rsid w:val="00065057"/>
    <w:rsid w:val="000651CF"/>
    <w:rsid w:val="00072606"/>
    <w:rsid w:val="00075D28"/>
    <w:rsid w:val="000825D7"/>
    <w:rsid w:val="00090856"/>
    <w:rsid w:val="00091778"/>
    <w:rsid w:val="00096723"/>
    <w:rsid w:val="0009767D"/>
    <w:rsid w:val="000A2E66"/>
    <w:rsid w:val="000B0926"/>
    <w:rsid w:val="000B176F"/>
    <w:rsid w:val="000B2704"/>
    <w:rsid w:val="000B2C23"/>
    <w:rsid w:val="000B701F"/>
    <w:rsid w:val="000B7039"/>
    <w:rsid w:val="000D642C"/>
    <w:rsid w:val="000E15D7"/>
    <w:rsid w:val="000E3800"/>
    <w:rsid w:val="000E4E4E"/>
    <w:rsid w:val="000E5450"/>
    <w:rsid w:val="000F15E2"/>
    <w:rsid w:val="000F338B"/>
    <w:rsid w:val="000F48DF"/>
    <w:rsid w:val="000F5B88"/>
    <w:rsid w:val="001009AE"/>
    <w:rsid w:val="00116DB2"/>
    <w:rsid w:val="00117F3E"/>
    <w:rsid w:val="00124491"/>
    <w:rsid w:val="001305BF"/>
    <w:rsid w:val="001312DA"/>
    <w:rsid w:val="001577F0"/>
    <w:rsid w:val="001611A7"/>
    <w:rsid w:val="00161D2D"/>
    <w:rsid w:val="00161E2D"/>
    <w:rsid w:val="00162EF0"/>
    <w:rsid w:val="00171BFE"/>
    <w:rsid w:val="0017677D"/>
    <w:rsid w:val="001814D3"/>
    <w:rsid w:val="001828CC"/>
    <w:rsid w:val="00184C94"/>
    <w:rsid w:val="00186508"/>
    <w:rsid w:val="00191451"/>
    <w:rsid w:val="001937AD"/>
    <w:rsid w:val="0019614D"/>
    <w:rsid w:val="001A36CC"/>
    <w:rsid w:val="001A387C"/>
    <w:rsid w:val="001A53FC"/>
    <w:rsid w:val="001B6C9B"/>
    <w:rsid w:val="001B7877"/>
    <w:rsid w:val="001C00E7"/>
    <w:rsid w:val="001C5A7B"/>
    <w:rsid w:val="001E35A7"/>
    <w:rsid w:val="001E4004"/>
    <w:rsid w:val="001F3390"/>
    <w:rsid w:val="001F4F6C"/>
    <w:rsid w:val="00231194"/>
    <w:rsid w:val="0024070B"/>
    <w:rsid w:val="00240EC2"/>
    <w:rsid w:val="0024341C"/>
    <w:rsid w:val="0027727F"/>
    <w:rsid w:val="00282DF5"/>
    <w:rsid w:val="002A5E42"/>
    <w:rsid w:val="002B2C77"/>
    <w:rsid w:val="002B5E55"/>
    <w:rsid w:val="002B76E4"/>
    <w:rsid w:val="002D6B2F"/>
    <w:rsid w:val="002E1B9B"/>
    <w:rsid w:val="00305713"/>
    <w:rsid w:val="0030652E"/>
    <w:rsid w:val="003124C0"/>
    <w:rsid w:val="003200B7"/>
    <w:rsid w:val="00332516"/>
    <w:rsid w:val="003344E6"/>
    <w:rsid w:val="003409F3"/>
    <w:rsid w:val="00345CB2"/>
    <w:rsid w:val="00345E18"/>
    <w:rsid w:val="00347F24"/>
    <w:rsid w:val="0035328F"/>
    <w:rsid w:val="00353501"/>
    <w:rsid w:val="00376607"/>
    <w:rsid w:val="00377277"/>
    <w:rsid w:val="00386168"/>
    <w:rsid w:val="003863C9"/>
    <w:rsid w:val="003939B0"/>
    <w:rsid w:val="003A69B5"/>
    <w:rsid w:val="003A6EFB"/>
    <w:rsid w:val="003B6F8A"/>
    <w:rsid w:val="003C2C73"/>
    <w:rsid w:val="003E5517"/>
    <w:rsid w:val="003E5ABA"/>
    <w:rsid w:val="003F135F"/>
    <w:rsid w:val="003F6427"/>
    <w:rsid w:val="00400FD8"/>
    <w:rsid w:val="00413B57"/>
    <w:rsid w:val="004300F4"/>
    <w:rsid w:val="00430148"/>
    <w:rsid w:val="00431405"/>
    <w:rsid w:val="00447C20"/>
    <w:rsid w:val="00452E2F"/>
    <w:rsid w:val="004556B3"/>
    <w:rsid w:val="00464AC4"/>
    <w:rsid w:val="00467230"/>
    <w:rsid w:val="00473A65"/>
    <w:rsid w:val="0049117E"/>
    <w:rsid w:val="00491C89"/>
    <w:rsid w:val="00495EFD"/>
    <w:rsid w:val="004A676E"/>
    <w:rsid w:val="004B1BD3"/>
    <w:rsid w:val="004B23B8"/>
    <w:rsid w:val="004B2B00"/>
    <w:rsid w:val="004B497C"/>
    <w:rsid w:val="004B5CEB"/>
    <w:rsid w:val="004B6F02"/>
    <w:rsid w:val="004C2C08"/>
    <w:rsid w:val="004C416D"/>
    <w:rsid w:val="004C772F"/>
    <w:rsid w:val="004C7C6B"/>
    <w:rsid w:val="004D29C2"/>
    <w:rsid w:val="004E31C9"/>
    <w:rsid w:val="004E53B8"/>
    <w:rsid w:val="004F6346"/>
    <w:rsid w:val="004F6757"/>
    <w:rsid w:val="005012CD"/>
    <w:rsid w:val="00504D39"/>
    <w:rsid w:val="0050552D"/>
    <w:rsid w:val="0051061F"/>
    <w:rsid w:val="00517E63"/>
    <w:rsid w:val="00526363"/>
    <w:rsid w:val="00526D45"/>
    <w:rsid w:val="0054289E"/>
    <w:rsid w:val="0054622F"/>
    <w:rsid w:val="00546897"/>
    <w:rsid w:val="0055562B"/>
    <w:rsid w:val="00557942"/>
    <w:rsid w:val="00560157"/>
    <w:rsid w:val="00567735"/>
    <w:rsid w:val="00567B03"/>
    <w:rsid w:val="005734B3"/>
    <w:rsid w:val="00574037"/>
    <w:rsid w:val="00577BE5"/>
    <w:rsid w:val="005A30A0"/>
    <w:rsid w:val="005A4C09"/>
    <w:rsid w:val="005A6A34"/>
    <w:rsid w:val="005B01B5"/>
    <w:rsid w:val="005B73FD"/>
    <w:rsid w:val="005E215F"/>
    <w:rsid w:val="005F1AD2"/>
    <w:rsid w:val="005F7393"/>
    <w:rsid w:val="0060196C"/>
    <w:rsid w:val="00601C56"/>
    <w:rsid w:val="00606705"/>
    <w:rsid w:val="006134C5"/>
    <w:rsid w:val="00635599"/>
    <w:rsid w:val="00635CEC"/>
    <w:rsid w:val="0063600F"/>
    <w:rsid w:val="00640D3D"/>
    <w:rsid w:val="006648EC"/>
    <w:rsid w:val="00670617"/>
    <w:rsid w:val="00673F68"/>
    <w:rsid w:val="00674D10"/>
    <w:rsid w:val="00685502"/>
    <w:rsid w:val="00693E06"/>
    <w:rsid w:val="006A7613"/>
    <w:rsid w:val="006B7EC3"/>
    <w:rsid w:val="006C2E11"/>
    <w:rsid w:val="006C56DD"/>
    <w:rsid w:val="006E0F6C"/>
    <w:rsid w:val="006E678B"/>
    <w:rsid w:val="006F3495"/>
    <w:rsid w:val="006F4E1F"/>
    <w:rsid w:val="00704D73"/>
    <w:rsid w:val="00707167"/>
    <w:rsid w:val="00707791"/>
    <w:rsid w:val="0071259B"/>
    <w:rsid w:val="00715DF4"/>
    <w:rsid w:val="007171C5"/>
    <w:rsid w:val="00721641"/>
    <w:rsid w:val="00725F84"/>
    <w:rsid w:val="00730C7D"/>
    <w:rsid w:val="00762CFD"/>
    <w:rsid w:val="00772865"/>
    <w:rsid w:val="00777E12"/>
    <w:rsid w:val="00790E85"/>
    <w:rsid w:val="007932A0"/>
    <w:rsid w:val="00793AE2"/>
    <w:rsid w:val="007952C1"/>
    <w:rsid w:val="00797A21"/>
    <w:rsid w:val="007A09EA"/>
    <w:rsid w:val="007A7477"/>
    <w:rsid w:val="007B43E2"/>
    <w:rsid w:val="007C04EA"/>
    <w:rsid w:val="007C13FF"/>
    <w:rsid w:val="007D442D"/>
    <w:rsid w:val="007E3CEE"/>
    <w:rsid w:val="007F3558"/>
    <w:rsid w:val="007F36C4"/>
    <w:rsid w:val="00800874"/>
    <w:rsid w:val="00804FEA"/>
    <w:rsid w:val="0083156B"/>
    <w:rsid w:val="00841D90"/>
    <w:rsid w:val="00843DEA"/>
    <w:rsid w:val="0084571F"/>
    <w:rsid w:val="008469FD"/>
    <w:rsid w:val="0085517B"/>
    <w:rsid w:val="0086069E"/>
    <w:rsid w:val="00860C37"/>
    <w:rsid w:val="00862221"/>
    <w:rsid w:val="00873755"/>
    <w:rsid w:val="00894904"/>
    <w:rsid w:val="0089552D"/>
    <w:rsid w:val="008A2ECD"/>
    <w:rsid w:val="008A6C16"/>
    <w:rsid w:val="008C68C6"/>
    <w:rsid w:val="008E5546"/>
    <w:rsid w:val="008F04DC"/>
    <w:rsid w:val="008F15DA"/>
    <w:rsid w:val="008F3FF5"/>
    <w:rsid w:val="008F4BB6"/>
    <w:rsid w:val="008F7783"/>
    <w:rsid w:val="0092041B"/>
    <w:rsid w:val="00921307"/>
    <w:rsid w:val="00935543"/>
    <w:rsid w:val="009401C7"/>
    <w:rsid w:val="009470F7"/>
    <w:rsid w:val="00960A51"/>
    <w:rsid w:val="00960FE3"/>
    <w:rsid w:val="00970E7C"/>
    <w:rsid w:val="00971DC8"/>
    <w:rsid w:val="00985896"/>
    <w:rsid w:val="00986B99"/>
    <w:rsid w:val="00986DEF"/>
    <w:rsid w:val="00990A57"/>
    <w:rsid w:val="00990A5C"/>
    <w:rsid w:val="009A5331"/>
    <w:rsid w:val="009B0725"/>
    <w:rsid w:val="009B3DE3"/>
    <w:rsid w:val="009B7375"/>
    <w:rsid w:val="009C5F4B"/>
    <w:rsid w:val="009D11E5"/>
    <w:rsid w:val="009D2B26"/>
    <w:rsid w:val="009E761F"/>
    <w:rsid w:val="00A0563B"/>
    <w:rsid w:val="00A077BF"/>
    <w:rsid w:val="00A277B5"/>
    <w:rsid w:val="00A32761"/>
    <w:rsid w:val="00A351F6"/>
    <w:rsid w:val="00A430C8"/>
    <w:rsid w:val="00A454B0"/>
    <w:rsid w:val="00A57369"/>
    <w:rsid w:val="00A63B8E"/>
    <w:rsid w:val="00A63FAA"/>
    <w:rsid w:val="00A64605"/>
    <w:rsid w:val="00A84E26"/>
    <w:rsid w:val="00A906F7"/>
    <w:rsid w:val="00A924CF"/>
    <w:rsid w:val="00A92962"/>
    <w:rsid w:val="00A97E4F"/>
    <w:rsid w:val="00AA656C"/>
    <w:rsid w:val="00AB03BE"/>
    <w:rsid w:val="00AB4689"/>
    <w:rsid w:val="00AB713E"/>
    <w:rsid w:val="00AB7A40"/>
    <w:rsid w:val="00AC1527"/>
    <w:rsid w:val="00AC7E8F"/>
    <w:rsid w:val="00AD4B59"/>
    <w:rsid w:val="00AE0113"/>
    <w:rsid w:val="00AF1110"/>
    <w:rsid w:val="00B06145"/>
    <w:rsid w:val="00B12132"/>
    <w:rsid w:val="00B16E92"/>
    <w:rsid w:val="00B227E6"/>
    <w:rsid w:val="00B23996"/>
    <w:rsid w:val="00B35129"/>
    <w:rsid w:val="00B505F2"/>
    <w:rsid w:val="00B512B1"/>
    <w:rsid w:val="00B52CF8"/>
    <w:rsid w:val="00B5734A"/>
    <w:rsid w:val="00B63B08"/>
    <w:rsid w:val="00B658C0"/>
    <w:rsid w:val="00B801D9"/>
    <w:rsid w:val="00B8711B"/>
    <w:rsid w:val="00B905F7"/>
    <w:rsid w:val="00B938D6"/>
    <w:rsid w:val="00B970F9"/>
    <w:rsid w:val="00BA0784"/>
    <w:rsid w:val="00BA0B17"/>
    <w:rsid w:val="00BA56E7"/>
    <w:rsid w:val="00BB30AE"/>
    <w:rsid w:val="00BC7076"/>
    <w:rsid w:val="00BC7A1F"/>
    <w:rsid w:val="00BD0D2A"/>
    <w:rsid w:val="00BD1E3C"/>
    <w:rsid w:val="00BD2E6F"/>
    <w:rsid w:val="00BE12D4"/>
    <w:rsid w:val="00BE2D61"/>
    <w:rsid w:val="00BE7427"/>
    <w:rsid w:val="00BF59AD"/>
    <w:rsid w:val="00C011AF"/>
    <w:rsid w:val="00C026F3"/>
    <w:rsid w:val="00C054D0"/>
    <w:rsid w:val="00C10401"/>
    <w:rsid w:val="00C14B81"/>
    <w:rsid w:val="00C20461"/>
    <w:rsid w:val="00C3405A"/>
    <w:rsid w:val="00C34844"/>
    <w:rsid w:val="00C36178"/>
    <w:rsid w:val="00C60674"/>
    <w:rsid w:val="00C60D5D"/>
    <w:rsid w:val="00C66112"/>
    <w:rsid w:val="00C71707"/>
    <w:rsid w:val="00C74B78"/>
    <w:rsid w:val="00C76F5A"/>
    <w:rsid w:val="00C92C5B"/>
    <w:rsid w:val="00C950E1"/>
    <w:rsid w:val="00CC0E59"/>
    <w:rsid w:val="00CC0FB4"/>
    <w:rsid w:val="00CC3455"/>
    <w:rsid w:val="00CD654D"/>
    <w:rsid w:val="00CE04F8"/>
    <w:rsid w:val="00CE2E0D"/>
    <w:rsid w:val="00CE509A"/>
    <w:rsid w:val="00D008BF"/>
    <w:rsid w:val="00D03943"/>
    <w:rsid w:val="00D10A97"/>
    <w:rsid w:val="00D1757D"/>
    <w:rsid w:val="00D449EB"/>
    <w:rsid w:val="00D45640"/>
    <w:rsid w:val="00D46BD1"/>
    <w:rsid w:val="00D47A95"/>
    <w:rsid w:val="00D528E7"/>
    <w:rsid w:val="00D55050"/>
    <w:rsid w:val="00D562E0"/>
    <w:rsid w:val="00D60B8C"/>
    <w:rsid w:val="00D60BFB"/>
    <w:rsid w:val="00D62D4B"/>
    <w:rsid w:val="00D7656E"/>
    <w:rsid w:val="00D772A9"/>
    <w:rsid w:val="00D77A06"/>
    <w:rsid w:val="00D801D5"/>
    <w:rsid w:val="00D92904"/>
    <w:rsid w:val="00D92A2B"/>
    <w:rsid w:val="00DA48B1"/>
    <w:rsid w:val="00DA7566"/>
    <w:rsid w:val="00DC0007"/>
    <w:rsid w:val="00DC2299"/>
    <w:rsid w:val="00DC409F"/>
    <w:rsid w:val="00DC40FC"/>
    <w:rsid w:val="00DD0640"/>
    <w:rsid w:val="00DD0B5D"/>
    <w:rsid w:val="00DF5D40"/>
    <w:rsid w:val="00E0221C"/>
    <w:rsid w:val="00E05C35"/>
    <w:rsid w:val="00E138F9"/>
    <w:rsid w:val="00E26A44"/>
    <w:rsid w:val="00E273C9"/>
    <w:rsid w:val="00E3077E"/>
    <w:rsid w:val="00E309AF"/>
    <w:rsid w:val="00E35757"/>
    <w:rsid w:val="00E42CCF"/>
    <w:rsid w:val="00E43223"/>
    <w:rsid w:val="00E461BA"/>
    <w:rsid w:val="00E47CA8"/>
    <w:rsid w:val="00E550E9"/>
    <w:rsid w:val="00E62CAB"/>
    <w:rsid w:val="00E631B6"/>
    <w:rsid w:val="00E70F18"/>
    <w:rsid w:val="00E737A7"/>
    <w:rsid w:val="00E94DAA"/>
    <w:rsid w:val="00EA1AAF"/>
    <w:rsid w:val="00EA2DCF"/>
    <w:rsid w:val="00EA5041"/>
    <w:rsid w:val="00EA67B5"/>
    <w:rsid w:val="00EB1894"/>
    <w:rsid w:val="00EB4739"/>
    <w:rsid w:val="00EB73E7"/>
    <w:rsid w:val="00EC0097"/>
    <w:rsid w:val="00EC091B"/>
    <w:rsid w:val="00EC59E1"/>
    <w:rsid w:val="00EE1B15"/>
    <w:rsid w:val="00EF3F30"/>
    <w:rsid w:val="00F0466A"/>
    <w:rsid w:val="00F07122"/>
    <w:rsid w:val="00F11D8A"/>
    <w:rsid w:val="00F206C5"/>
    <w:rsid w:val="00F2136F"/>
    <w:rsid w:val="00F2650F"/>
    <w:rsid w:val="00F32A1B"/>
    <w:rsid w:val="00F3652C"/>
    <w:rsid w:val="00F40508"/>
    <w:rsid w:val="00F50F81"/>
    <w:rsid w:val="00F52375"/>
    <w:rsid w:val="00F54048"/>
    <w:rsid w:val="00F579EF"/>
    <w:rsid w:val="00F645AA"/>
    <w:rsid w:val="00F661F1"/>
    <w:rsid w:val="00F80BF0"/>
    <w:rsid w:val="00F9357F"/>
    <w:rsid w:val="00F94530"/>
    <w:rsid w:val="00F94640"/>
    <w:rsid w:val="00F94707"/>
    <w:rsid w:val="00F951D3"/>
    <w:rsid w:val="00FA4E1E"/>
    <w:rsid w:val="00FB2E10"/>
    <w:rsid w:val="00FB4EEB"/>
    <w:rsid w:val="00FB5A80"/>
    <w:rsid w:val="00FC25B1"/>
    <w:rsid w:val="00FC29E3"/>
    <w:rsid w:val="00FC41F8"/>
    <w:rsid w:val="00FE2B54"/>
    <w:rsid w:val="00FE48A4"/>
    <w:rsid w:val="00FF4C4F"/>
    <w:rsid w:val="00FF517B"/>
    <w:rsid w:val="00FF5295"/>
    <w:rsid w:val="00FF6537"/>
    <w:rsid w:val="3EA0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3"/>
    <w:link w:val="39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link w:val="31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link w:val="32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link w:val="33"/>
    <w:qFormat/>
    <w:uiPriority w:val="0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7">
    <w:name w:val="heading 5"/>
    <w:basedOn w:val="1"/>
    <w:next w:val="1"/>
    <w:link w:val="34"/>
    <w:qFormat/>
    <w:uiPriority w:val="0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8">
    <w:name w:val="heading 6"/>
    <w:basedOn w:val="1"/>
    <w:next w:val="1"/>
    <w:link w:val="35"/>
    <w:qFormat/>
    <w:uiPriority w:val="0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9">
    <w:name w:val="heading 7"/>
    <w:basedOn w:val="1"/>
    <w:next w:val="1"/>
    <w:link w:val="36"/>
    <w:qFormat/>
    <w:uiPriority w:val="0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10">
    <w:name w:val="heading 8"/>
    <w:basedOn w:val="1"/>
    <w:next w:val="1"/>
    <w:link w:val="37"/>
    <w:qFormat/>
    <w:uiPriority w:val="0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11">
    <w:name w:val="heading 9"/>
    <w:basedOn w:val="1"/>
    <w:next w:val="1"/>
    <w:link w:val="38"/>
    <w:qFormat/>
    <w:uiPriority w:val="0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uiPriority w:val="0"/>
    <w:pPr>
      <w:spacing w:after="120"/>
      <w:ind w:left="1440" w:leftChars="700" w:right="1440" w:rightChars="700"/>
    </w:p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uiPriority w:val="39"/>
    <w:pPr>
      <w:ind w:left="840" w:leftChars="400"/>
    </w:pPr>
  </w:style>
  <w:style w:type="paragraph" w:styleId="14">
    <w:name w:val="Balloon Text"/>
    <w:basedOn w:val="1"/>
    <w:link w:val="42"/>
    <w:qFormat/>
    <w:uiPriority w:val="0"/>
    <w:rPr>
      <w:sz w:val="18"/>
      <w:szCs w:val="18"/>
    </w:rPr>
  </w:style>
  <w:style w:type="paragraph" w:styleId="15">
    <w:name w:val="footer"/>
    <w:basedOn w:val="1"/>
    <w:link w:val="2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2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autoRedefine/>
    <w:uiPriority w:val="39"/>
    <w:rPr>
      <w:b/>
    </w:rPr>
  </w:style>
  <w:style w:type="paragraph" w:styleId="18">
    <w:name w:val="toc 2"/>
    <w:basedOn w:val="1"/>
    <w:next w:val="1"/>
    <w:autoRedefine/>
    <w:uiPriority w:val="39"/>
    <w:pPr>
      <w:ind w:left="420" w:leftChars="200"/>
    </w:pPr>
  </w:style>
  <w:style w:type="paragraph" w:styleId="19">
    <w:name w:val="Title"/>
    <w:basedOn w:val="1"/>
    <w:next w:val="1"/>
    <w:link w:val="29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21">
    <w:name w:val="Table Grid"/>
    <w:basedOn w:val="2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page number"/>
    <w:basedOn w:val="22"/>
    <w:uiPriority w:val="0"/>
  </w:style>
  <w:style w:type="character" w:styleId="24">
    <w:name w:val="Hyperlink"/>
    <w:unhideWhenUsed/>
    <w:uiPriority w:val="99"/>
    <w:rPr>
      <w:color w:val="0563C1"/>
      <w:u w:val="single"/>
    </w:rPr>
  </w:style>
  <w:style w:type="character" w:customStyle="1" w:styleId="25">
    <w:name w:val="页眉 Char"/>
    <w:link w:val="16"/>
    <w:uiPriority w:val="0"/>
    <w:rPr>
      <w:kern w:val="2"/>
      <w:sz w:val="18"/>
      <w:szCs w:val="18"/>
    </w:rPr>
  </w:style>
  <w:style w:type="character" w:customStyle="1" w:styleId="26">
    <w:name w:val="页脚 Char"/>
    <w:link w:val="15"/>
    <w:uiPriority w:val="99"/>
    <w:rPr>
      <w:kern w:val="2"/>
      <w:sz w:val="18"/>
      <w:szCs w:val="18"/>
    </w:rPr>
  </w:style>
  <w:style w:type="character" w:customStyle="1" w:styleId="27">
    <w:name w:val="页眉 字符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8">
    <w:name w:val="页脚 字符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标题 Char"/>
    <w:link w:val="19"/>
    <w:uiPriority w:val="0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30">
    <w:name w:val="标题 1 Char"/>
    <w:uiPriority w:val="0"/>
    <w:rPr>
      <w:b/>
      <w:bCs/>
      <w:kern w:val="44"/>
      <w:sz w:val="44"/>
      <w:szCs w:val="44"/>
    </w:rPr>
  </w:style>
  <w:style w:type="character" w:customStyle="1" w:styleId="31">
    <w:name w:val="标题 2 Char"/>
    <w:link w:val="4"/>
    <w:uiPriority w:val="0"/>
    <w:rPr>
      <w:rFonts w:ascii="宋体" w:cs="Arial"/>
      <w:b/>
      <w:bCs/>
      <w:iCs/>
      <w:color w:val="000000"/>
      <w:sz w:val="24"/>
      <w:szCs w:val="24"/>
    </w:rPr>
  </w:style>
  <w:style w:type="character" w:customStyle="1" w:styleId="32">
    <w:name w:val="标题 3 Char"/>
    <w:link w:val="5"/>
    <w:uiPriority w:val="0"/>
    <w:rPr>
      <w:rFonts w:ascii="宋体" w:hAnsi="宋体" w:cs="Arial"/>
      <w:b/>
      <w:bCs/>
      <w:sz w:val="21"/>
      <w:szCs w:val="21"/>
    </w:rPr>
  </w:style>
  <w:style w:type="character" w:customStyle="1" w:styleId="33">
    <w:name w:val="标题 4 Char"/>
    <w:link w:val="6"/>
    <w:uiPriority w:val="0"/>
    <w:rPr>
      <w:b/>
      <w:bCs/>
      <w:sz w:val="21"/>
      <w:szCs w:val="28"/>
      <w:lang w:val="en-GB"/>
    </w:rPr>
  </w:style>
  <w:style w:type="character" w:customStyle="1" w:styleId="34">
    <w:name w:val="标题 5 Char"/>
    <w:link w:val="7"/>
    <w:uiPriority w:val="0"/>
    <w:rPr>
      <w:b/>
      <w:bCs/>
      <w:iCs/>
      <w:sz w:val="21"/>
      <w:szCs w:val="26"/>
      <w:lang w:val="en-GB"/>
    </w:rPr>
  </w:style>
  <w:style w:type="character" w:customStyle="1" w:styleId="35">
    <w:name w:val="标题 6 Char"/>
    <w:link w:val="8"/>
    <w:qFormat/>
    <w:uiPriority w:val="0"/>
    <w:rPr>
      <w:b/>
      <w:bCs/>
      <w:sz w:val="21"/>
      <w:szCs w:val="22"/>
      <w:lang w:val="en-GB"/>
    </w:rPr>
  </w:style>
  <w:style w:type="character" w:customStyle="1" w:styleId="36">
    <w:name w:val="标题 7 Char"/>
    <w:link w:val="9"/>
    <w:uiPriority w:val="0"/>
    <w:rPr>
      <w:sz w:val="24"/>
      <w:szCs w:val="24"/>
      <w:lang w:val="en-GB"/>
    </w:rPr>
  </w:style>
  <w:style w:type="character" w:customStyle="1" w:styleId="37">
    <w:name w:val="标题 8 Char"/>
    <w:link w:val="10"/>
    <w:uiPriority w:val="0"/>
    <w:rPr>
      <w:i/>
      <w:iCs/>
      <w:sz w:val="24"/>
      <w:szCs w:val="24"/>
      <w:lang w:val="en-GB"/>
    </w:rPr>
  </w:style>
  <w:style w:type="character" w:customStyle="1" w:styleId="38">
    <w:name w:val="标题 9 Char"/>
    <w:link w:val="11"/>
    <w:uiPriority w:val="0"/>
    <w:rPr>
      <w:rFonts w:ascii="Arial" w:hAnsi="Arial" w:cs="Arial"/>
      <w:sz w:val="22"/>
      <w:szCs w:val="22"/>
      <w:lang w:val="en-GB"/>
    </w:rPr>
  </w:style>
  <w:style w:type="character" w:customStyle="1" w:styleId="39">
    <w:name w:val="标题 1 Char1"/>
    <w:link w:val="2"/>
    <w:uiPriority w:val="0"/>
    <w:rPr>
      <w:b/>
      <w:bCs/>
      <w:kern w:val="32"/>
      <w:sz w:val="28"/>
      <w:szCs w:val="28"/>
    </w:rPr>
  </w:style>
  <w:style w:type="character" w:customStyle="1" w:styleId="40">
    <w:name w:val="标题 2 字符"/>
    <w:uiPriority w:val="0"/>
    <w:rPr>
      <w:rFonts w:ascii="宋体" w:hAnsi="Times New Roman" w:eastAsia="宋体" w:cs="Arial"/>
      <w:b/>
      <w:bCs/>
      <w:iCs/>
      <w:color w:val="000000"/>
      <w:kern w:val="0"/>
      <w:sz w:val="24"/>
      <w:szCs w:val="24"/>
    </w:rPr>
  </w:style>
  <w:style w:type="paragraph" w:styleId="41">
    <w:name w:val="List Paragraph"/>
    <w:basedOn w:val="1"/>
    <w:qFormat/>
    <w:uiPriority w:val="34"/>
    <w:pPr>
      <w:ind w:firstLine="420" w:firstLineChars="200"/>
    </w:pPr>
  </w:style>
  <w:style w:type="character" w:customStyle="1" w:styleId="42">
    <w:name w:val="批注框文本 Char"/>
    <w:link w:val="14"/>
    <w:qFormat/>
    <w:uiPriority w:val="0"/>
    <w:rPr>
      <w:kern w:val="2"/>
      <w:sz w:val="18"/>
      <w:szCs w:val="18"/>
    </w:rPr>
  </w:style>
  <w:style w:type="character" w:styleId="43">
    <w:name w:val="Placeholder Text"/>
    <w:semiHidden/>
    <w:uiPriority w:val="99"/>
    <w:rPr>
      <w:color w:val="808080"/>
    </w:rPr>
  </w:style>
  <w:style w:type="paragraph" w:customStyle="1" w:styleId="44">
    <w:name w:val="TOC Heading"/>
    <w:basedOn w:val="2"/>
    <w:next w:val="1"/>
    <w:qFormat/>
    <w:uiPriority w:val="39"/>
    <w:pPr>
      <w:keepLines/>
      <w:numPr>
        <w:numId w:val="0"/>
      </w:numPr>
      <w:kinsoku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45">
    <w:name w:val="页眉 Char1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3.wmf"/><Relationship Id="rId76" Type="http://schemas.openxmlformats.org/officeDocument/2006/relationships/fontTable" Target="fontTable.xml"/><Relationship Id="rId75" Type="http://schemas.openxmlformats.org/officeDocument/2006/relationships/customXml" Target="../customXml/item1.xml"/><Relationship Id="rId74" Type="http://schemas.openxmlformats.org/officeDocument/2006/relationships/numbering" Target="numbering.xml"/><Relationship Id="rId73" Type="http://schemas.openxmlformats.org/officeDocument/2006/relationships/oleObject" Target="embeddings/oleObject42.bin"/><Relationship Id="rId72" Type="http://schemas.openxmlformats.org/officeDocument/2006/relationships/oleObject" Target="embeddings/oleObject41.bin"/><Relationship Id="rId71" Type="http://schemas.openxmlformats.org/officeDocument/2006/relationships/oleObject" Target="embeddings/oleObject40.bin"/><Relationship Id="rId70" Type="http://schemas.openxmlformats.org/officeDocument/2006/relationships/oleObject" Target="embeddings/oleObject39.bin"/><Relationship Id="rId7" Type="http://schemas.openxmlformats.org/officeDocument/2006/relationships/oleObject" Target="embeddings/oleObject1.bin"/><Relationship Id="rId69" Type="http://schemas.openxmlformats.org/officeDocument/2006/relationships/oleObject" Target="embeddings/oleObject38.bin"/><Relationship Id="rId68" Type="http://schemas.openxmlformats.org/officeDocument/2006/relationships/oleObject" Target="embeddings/oleObject37.bin"/><Relationship Id="rId67" Type="http://schemas.openxmlformats.org/officeDocument/2006/relationships/oleObject" Target="embeddings/oleObject36.bin"/><Relationship Id="rId66" Type="http://schemas.openxmlformats.org/officeDocument/2006/relationships/oleObject" Target="embeddings/oleObject35.bin"/><Relationship Id="rId65" Type="http://schemas.openxmlformats.org/officeDocument/2006/relationships/oleObject" Target="embeddings/oleObject34.bin"/><Relationship Id="rId64" Type="http://schemas.openxmlformats.org/officeDocument/2006/relationships/oleObject" Target="embeddings/oleObject33.bin"/><Relationship Id="rId63" Type="http://schemas.openxmlformats.org/officeDocument/2006/relationships/oleObject" Target="embeddings/oleObject32.bin"/><Relationship Id="rId62" Type="http://schemas.openxmlformats.org/officeDocument/2006/relationships/oleObject" Target="embeddings/oleObject31.bin"/><Relationship Id="rId61" Type="http://schemas.openxmlformats.org/officeDocument/2006/relationships/oleObject" Target="embeddings/oleObject30.bin"/><Relationship Id="rId60" Type="http://schemas.openxmlformats.org/officeDocument/2006/relationships/oleObject" Target="embeddings/oleObject29.bin"/><Relationship Id="rId6" Type="http://schemas.openxmlformats.org/officeDocument/2006/relationships/image" Target="media/image2.bmp"/><Relationship Id="rId59" Type="http://schemas.openxmlformats.org/officeDocument/2006/relationships/oleObject" Target="embeddings/oleObject28.bin"/><Relationship Id="rId58" Type="http://schemas.openxmlformats.org/officeDocument/2006/relationships/oleObject" Target="embeddings/oleObject27.bin"/><Relationship Id="rId57" Type="http://schemas.openxmlformats.org/officeDocument/2006/relationships/oleObject" Target="embeddings/oleObject26.bin"/><Relationship Id="rId56" Type="http://schemas.openxmlformats.org/officeDocument/2006/relationships/oleObject" Target="embeddings/oleObject25.bin"/><Relationship Id="rId55" Type="http://schemas.openxmlformats.org/officeDocument/2006/relationships/image" Target="media/image27.wmf"/><Relationship Id="rId54" Type="http://schemas.openxmlformats.org/officeDocument/2006/relationships/oleObject" Target="embeddings/oleObject24.bin"/><Relationship Id="rId53" Type="http://schemas.openxmlformats.org/officeDocument/2006/relationships/image" Target="media/image26.wmf"/><Relationship Id="rId52" Type="http://schemas.openxmlformats.org/officeDocument/2006/relationships/oleObject" Target="embeddings/oleObject23.bin"/><Relationship Id="rId51" Type="http://schemas.openxmlformats.org/officeDocument/2006/relationships/oleObject" Target="embeddings/oleObject22.bin"/><Relationship Id="rId50" Type="http://schemas.openxmlformats.org/officeDocument/2006/relationships/image" Target="media/image25.wmf"/><Relationship Id="rId5" Type="http://schemas.openxmlformats.org/officeDocument/2006/relationships/theme" Target="theme/theme1.xml"/><Relationship Id="rId49" Type="http://schemas.openxmlformats.org/officeDocument/2006/relationships/oleObject" Target="embeddings/oleObject21.bin"/><Relationship Id="rId48" Type="http://schemas.openxmlformats.org/officeDocument/2006/relationships/image" Target="media/image24.wmf"/><Relationship Id="rId47" Type="http://schemas.openxmlformats.org/officeDocument/2006/relationships/oleObject" Target="embeddings/oleObject20.bin"/><Relationship Id="rId46" Type="http://schemas.openxmlformats.org/officeDocument/2006/relationships/image" Target="media/image23.wmf"/><Relationship Id="rId45" Type="http://schemas.openxmlformats.org/officeDocument/2006/relationships/oleObject" Target="embeddings/oleObject19.bin"/><Relationship Id="rId44" Type="http://schemas.openxmlformats.org/officeDocument/2006/relationships/image" Target="media/image22.wmf"/><Relationship Id="rId43" Type="http://schemas.openxmlformats.org/officeDocument/2006/relationships/oleObject" Target="embeddings/oleObject18.bin"/><Relationship Id="rId42" Type="http://schemas.openxmlformats.org/officeDocument/2006/relationships/image" Target="media/image21.wmf"/><Relationship Id="rId41" Type="http://schemas.openxmlformats.org/officeDocument/2006/relationships/oleObject" Target="embeddings/oleObject17.bin"/><Relationship Id="rId40" Type="http://schemas.openxmlformats.org/officeDocument/2006/relationships/image" Target="media/image20.wmf"/><Relationship Id="rId4" Type="http://schemas.openxmlformats.org/officeDocument/2006/relationships/footer" Target="footer1.xml"/><Relationship Id="rId39" Type="http://schemas.openxmlformats.org/officeDocument/2006/relationships/oleObject" Target="embeddings/oleObject16.bin"/><Relationship Id="rId38" Type="http://schemas.openxmlformats.org/officeDocument/2006/relationships/image" Target="media/image19.wmf"/><Relationship Id="rId37" Type="http://schemas.openxmlformats.org/officeDocument/2006/relationships/oleObject" Target="embeddings/oleObject15.bin"/><Relationship Id="rId36" Type="http://schemas.openxmlformats.org/officeDocument/2006/relationships/image" Target="media/image18.wmf"/><Relationship Id="rId35" Type="http://schemas.openxmlformats.org/officeDocument/2006/relationships/oleObject" Target="embeddings/oleObject14.bin"/><Relationship Id="rId34" Type="http://schemas.openxmlformats.org/officeDocument/2006/relationships/image" Target="media/image17.wmf"/><Relationship Id="rId33" Type="http://schemas.openxmlformats.org/officeDocument/2006/relationships/oleObject" Target="embeddings/oleObject13.bin"/><Relationship Id="rId32" Type="http://schemas.openxmlformats.org/officeDocument/2006/relationships/image" Target="media/image16.wmf"/><Relationship Id="rId31" Type="http://schemas.openxmlformats.org/officeDocument/2006/relationships/oleObject" Target="embeddings/oleObject12.bin"/><Relationship Id="rId30" Type="http://schemas.openxmlformats.org/officeDocument/2006/relationships/image" Target="media/image15.wmf"/><Relationship Id="rId3" Type="http://schemas.openxmlformats.org/officeDocument/2006/relationships/header" Target="header1.xml"/><Relationship Id="rId29" Type="http://schemas.openxmlformats.org/officeDocument/2006/relationships/oleObject" Target="embeddings/oleObject11.bin"/><Relationship Id="rId28" Type="http://schemas.openxmlformats.org/officeDocument/2006/relationships/image" Target="media/image14.wmf"/><Relationship Id="rId27" Type="http://schemas.openxmlformats.org/officeDocument/2006/relationships/oleObject" Target="embeddings/oleObject10.bin"/><Relationship Id="rId26" Type="http://schemas.openxmlformats.org/officeDocument/2006/relationships/image" Target="media/image13.wmf"/><Relationship Id="rId25" Type="http://schemas.openxmlformats.org/officeDocument/2006/relationships/oleObject" Target="embeddings/oleObject9.bin"/><Relationship Id="rId24" Type="http://schemas.openxmlformats.org/officeDocument/2006/relationships/image" Target="media/image12.wmf"/><Relationship Id="rId23" Type="http://schemas.openxmlformats.org/officeDocument/2006/relationships/oleObject" Target="embeddings/oleObject8.bin"/><Relationship Id="rId22" Type="http://schemas.openxmlformats.org/officeDocument/2006/relationships/image" Target="media/image11.wmf"/><Relationship Id="rId21" Type="http://schemas.openxmlformats.org/officeDocument/2006/relationships/oleObject" Target="embeddings/oleObject7.bin"/><Relationship Id="rId20" Type="http://schemas.openxmlformats.org/officeDocument/2006/relationships/image" Target="media/image10.wmf"/><Relationship Id="rId2" Type="http://schemas.openxmlformats.org/officeDocument/2006/relationships/settings" Target="settings.xml"/><Relationship Id="rId19" Type="http://schemas.openxmlformats.org/officeDocument/2006/relationships/oleObject" Target="embeddings/oleObject6.bin"/><Relationship Id="rId18" Type="http://schemas.openxmlformats.org/officeDocument/2006/relationships/image" Target="media/image9.wmf"/><Relationship Id="rId17" Type="http://schemas.openxmlformats.org/officeDocument/2006/relationships/oleObject" Target="embeddings/oleObject5.bin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wmf"/><Relationship Id="rId13" Type="http://schemas.openxmlformats.org/officeDocument/2006/relationships/oleObject" Target="embeddings/oleObject4.bin"/><Relationship Id="rId12" Type="http://schemas.openxmlformats.org/officeDocument/2006/relationships/image" Target="media/image5.wmf"/><Relationship Id="rId11" Type="http://schemas.openxmlformats.org/officeDocument/2006/relationships/oleObject" Target="embeddings/oleObject3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tmp6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8D787-1966-458C-94AB-96A395EAF9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tmp6.dotx</Template>
  <Pages>8</Pages>
  <Words>2443</Words>
  <Characters>3946</Characters>
  <Lines>33</Lines>
  <Paragraphs>9</Paragraphs>
  <TotalTime>0</TotalTime>
  <ScaleCrop>false</ScaleCrop>
  <LinksUpToDate>false</LinksUpToDate>
  <CharactersWithSpaces>4497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2025-02-20T09:31:00Z</dcterms:created>
  <dc:creator></dc:creator>
  <cp:lastModifiedBy></cp:lastModifiedBy>
  <dcterms:modified xsi:type="dcterms:W3CDTF">2025-02-20T09:31:24Z</dcterms:modified>
  <dc:title>防潮验算计算书</dc:title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ICV">
    <vt:lpwstr>F60D48CE6CCF47E59D9DCE6FEBC6A236_11</vt:lpwstr>
  </property>
  <property fmtid="{D5CDD505-2E9C-101B-9397-08002B2CF9AE}" pid="4" name="KSOProductBuildVer">
    <vt:lpwstr>2052-12.1.0.16929</vt:lpwstr>
  </property>
</Properties>
</file>