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bookmarkStart w:id="98" w:name="_GoBack"/>
      <w:bookmarkEnd w:id="98"/>
    </w:p>
    <w:p>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2024年12月3日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9" w:name="软件版本"/>
            <w:r>
              <w:rPr>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10" w:name="正版授权码"/>
            <w:r>
              <w:t>T13348670389</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11"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_Toc15991 </w:instrText>
      </w:r>
      <w:r>
        <w:rPr>
          <w:szCs w:val="28"/>
        </w:rPr>
        <w:fldChar w:fldCharType="separate"/>
      </w:r>
      <w:r>
        <w:rPr>
          <w:rFonts w:hint="eastAsia"/>
        </w:rPr>
        <w:t>1. 建筑概况</w:t>
      </w:r>
      <w:r>
        <w:tab/>
      </w:r>
      <w:r>
        <w:fldChar w:fldCharType="begin"/>
      </w:r>
      <w:r>
        <w:instrText xml:space="preserve"> PAGEREF _Toc15991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_Toc29946 </w:instrText>
      </w:r>
      <w:r>
        <w:rPr>
          <w:szCs w:val="28"/>
        </w:rPr>
        <w:fldChar w:fldCharType="separate"/>
      </w:r>
      <w:r>
        <w:rPr>
          <w:rFonts w:hint="eastAsia"/>
        </w:rPr>
        <w:t>2. 计算</w:t>
      </w:r>
      <w:r>
        <w:t>目的</w:t>
      </w:r>
      <w:r>
        <w:tab/>
      </w:r>
      <w:r>
        <w:fldChar w:fldCharType="begin"/>
      </w:r>
      <w:r>
        <w:instrText xml:space="preserve"> PAGEREF _Toc29946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_Toc13259 </w:instrText>
      </w:r>
      <w:r>
        <w:rPr>
          <w:szCs w:val="28"/>
        </w:rPr>
        <w:fldChar w:fldCharType="separate"/>
      </w:r>
      <w:r>
        <w:rPr>
          <w:rFonts w:hint="eastAsia"/>
        </w:rPr>
        <w:t>3. 分析依据</w:t>
      </w:r>
      <w:r>
        <w:tab/>
      </w:r>
      <w:r>
        <w:fldChar w:fldCharType="begin"/>
      </w:r>
      <w:r>
        <w:instrText xml:space="preserve"> PAGEREF _Toc13259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_Toc26427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_Toc26427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_Toc30829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_Toc30829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_Toc4294 </w:instrText>
      </w:r>
      <w:r>
        <w:rPr>
          <w:szCs w:val="28"/>
        </w:rPr>
        <w:fldChar w:fldCharType="separate"/>
      </w:r>
      <w:r>
        <w:rPr>
          <w:rFonts w:hint="eastAsia"/>
        </w:rPr>
        <w:t>4. 动态采光</w:t>
      </w:r>
      <w:r>
        <w:t>概述</w:t>
      </w:r>
      <w:r>
        <w:tab/>
      </w:r>
      <w:r>
        <w:fldChar w:fldCharType="begin"/>
      </w:r>
      <w:r>
        <w:instrText xml:space="preserve"> PAGEREF _Toc4294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_Toc14498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_Toc14498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_Toc12359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_Toc12359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_Toc30174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_Toc30174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_Toc28919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_Toc28919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_Toc26557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_Toc26557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_Toc10276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_Toc10276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_Toc8694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_Toc8694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_Toc18398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_Toc18398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_Toc3774 </w:instrText>
      </w:r>
      <w:r>
        <w:rPr>
          <w:szCs w:val="28"/>
        </w:rPr>
        <w:fldChar w:fldCharType="separate"/>
      </w:r>
      <w:r>
        <w:rPr>
          <w:rFonts w:hint="eastAsia"/>
        </w:rPr>
        <w:t>6. 动态采光达标统计</w:t>
      </w:r>
      <w:r>
        <w:tab/>
      </w:r>
      <w:r>
        <w:fldChar w:fldCharType="begin"/>
      </w:r>
      <w:r>
        <w:instrText xml:space="preserve"> PAGEREF _Toc3774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_Toc30787 </w:instrText>
      </w:r>
      <w:r>
        <w:rPr>
          <w:szCs w:val="28"/>
        </w:rPr>
        <w:fldChar w:fldCharType="separate"/>
      </w:r>
      <w:r>
        <w:rPr>
          <w:rFonts w:hint="eastAsia"/>
        </w:rPr>
        <w:t>7. 动态采光统计图</w:t>
      </w:r>
      <w:r>
        <w:tab/>
      </w:r>
      <w:r>
        <w:fldChar w:fldCharType="begin"/>
      </w:r>
      <w:r>
        <w:instrText xml:space="preserve"> PAGEREF _Toc30787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_Toc2423 </w:instrText>
      </w:r>
      <w:r>
        <w:rPr>
          <w:szCs w:val="28"/>
        </w:rPr>
        <w:fldChar w:fldCharType="separate"/>
      </w:r>
      <w:r>
        <w:rPr>
          <w:rFonts w:hint="eastAsia"/>
        </w:rPr>
        <w:t xml:space="preserve">8. </w:t>
      </w:r>
      <w:r>
        <w:t>动态采光彩图</w:t>
      </w:r>
      <w:r>
        <w:tab/>
      </w:r>
      <w:r>
        <w:fldChar w:fldCharType="begin"/>
      </w:r>
      <w:r>
        <w:instrText xml:space="preserve"> PAGEREF _Toc2423 \h </w:instrText>
      </w:r>
      <w:r>
        <w:fldChar w:fldCharType="separate"/>
      </w:r>
      <w:r>
        <w:t>10</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_Toc5121 </w:instrText>
      </w:r>
      <w:r>
        <w:rPr>
          <w:szCs w:val="28"/>
        </w:rPr>
        <w:fldChar w:fldCharType="separate"/>
      </w:r>
      <w:r>
        <w:rPr>
          <w:rFonts w:hint="eastAsia"/>
        </w:rPr>
        <w:t>9. 评价结论</w:t>
      </w:r>
      <w:r>
        <w:tab/>
      </w:r>
      <w:r>
        <w:fldChar w:fldCharType="begin"/>
      </w:r>
      <w:r>
        <w:instrText xml:space="preserve"> PAGEREF _Toc5121 \h </w:instrText>
      </w:r>
      <w:r>
        <w:fldChar w:fldCharType="separate"/>
      </w:r>
      <w:r>
        <w:t>14</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ind w:left="432" w:hanging="432"/>
      </w:pPr>
      <w:r>
        <w:rPr>
          <w:szCs w:val="21"/>
        </w:rPr>
        <w:tab/>
      </w:r>
      <w:bookmarkStart w:id="12" w:name="_Toc512608176"/>
      <w:bookmarkStart w:id="13" w:name="_Toc15991"/>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4" w:name="项目地点"/>
            <w:r>
              <w:t>焦作</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5" w:name="光气候分区"/>
            <w:r>
              <w:t>III</w:t>
            </w:r>
            <w:bookmarkEnd w:id="15"/>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7" w:name="地上建筑面积"/>
            <w:r>
              <w:t>14959.79</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1" w:name="地上建筑高度"/>
            <w:r>
              <w:t>16.20</w:t>
            </w:r>
            <w:bookmarkEnd w:id="21"/>
            <w:r>
              <w:rPr>
                <w:rFonts w:hint="eastAsia"/>
                <w:lang w:val="en-US"/>
              </w:rPr>
              <w:t xml:space="preserve"> m     地下  </w:t>
            </w:r>
            <w:bookmarkStart w:id="22" w:name="地下建筑高度"/>
            <w:r>
              <w:t>0.00</w:t>
            </w:r>
            <w:bookmarkEnd w:id="22"/>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3" w:name="备注"/>
            <w:bookmarkEnd w:id="23"/>
          </w:p>
        </w:tc>
      </w:tr>
    </w:tbl>
    <w:p>
      <w:pPr>
        <w:pStyle w:val="3"/>
        <w:jc w:val="center"/>
        <w:rPr>
          <w:lang w:val="en-US"/>
        </w:rPr>
      </w:pPr>
    </w:p>
    <w:p>
      <w:pPr>
        <w:pStyle w:val="2"/>
        <w:ind w:left="432" w:hanging="432"/>
      </w:pPr>
      <w:bookmarkStart w:id="24" w:name="_Toc512608178"/>
      <w:bookmarkStart w:id="25" w:name="_Toc29946"/>
      <w:r>
        <w:rPr>
          <w:rFonts w:hint="eastAsia"/>
        </w:rPr>
        <w:t>计算</w:t>
      </w:r>
      <w:r>
        <w:t>目的</w:t>
      </w:r>
      <w:bookmarkEnd w:id="24"/>
      <w:bookmarkEnd w:id="25"/>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6" w:name="_Toc512608177"/>
      <w:bookmarkStart w:id="27" w:name="_Toc13259"/>
      <w:r>
        <w:rPr>
          <w:rFonts w:hint="eastAsia"/>
        </w:rPr>
        <w:t>分析依据</w:t>
      </w:r>
      <w:bookmarkEnd w:id="26"/>
      <w:bookmarkEnd w:id="27"/>
    </w:p>
    <w:p>
      <w:pPr>
        <w:pStyle w:val="4"/>
      </w:pPr>
      <w:bookmarkStart w:id="28" w:name="_Toc26427"/>
      <w:r>
        <w:rPr>
          <w:rFonts w:hint="eastAsia"/>
        </w:rPr>
        <w:t>标准依据</w:t>
      </w:r>
      <w:bookmarkEnd w:id="28"/>
    </w:p>
    <w:p>
      <w:pPr>
        <w:pStyle w:val="3"/>
        <w:numPr>
          <w:ilvl w:val="0"/>
          <w:numId w:val="2"/>
        </w:numPr>
        <w:rPr>
          <w:lang w:val="en-US"/>
        </w:rPr>
      </w:pPr>
      <w:bookmarkStart w:id="29" w:name="标准名称"/>
      <w:bookmarkStart w:id="30" w:name="_Toc512608179"/>
      <w:r>
        <w:rPr>
          <w:lang w:val="en-US"/>
        </w:rPr>
        <w:t>《绿色建筑评价标准》GB/T 50378-2019</w:t>
      </w:r>
      <w:bookmarkEnd w:id="29"/>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31" w:name="_Toc30829"/>
      <w:r>
        <w:rPr>
          <w:rFonts w:hint="eastAsia"/>
        </w:rPr>
        <w:t>标准要求</w:t>
      </w:r>
      <w:bookmarkEnd w:id="30"/>
      <w:bookmarkEnd w:id="31"/>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pPr>
        <w:pStyle w:val="3"/>
        <w:ind w:left="420" w:leftChars="200"/>
      </w:pPr>
    </w:p>
    <w:p>
      <w:pPr>
        <w:pStyle w:val="3"/>
        <w:ind w:left="420" w:leftChars="200"/>
        <w:rPr>
          <w:bCs/>
          <w:color w:val="000000" w:themeColor="text1"/>
          <w:lang w:val="en-US"/>
          <w14:textFill>
            <w14:solidFill>
              <w14:schemeClr w14:val="tx1"/>
            </w14:solidFill>
          </w14:textFill>
        </w:rPr>
      </w:pPr>
    </w:p>
    <w:p>
      <w:pPr>
        <w:pStyle w:val="3"/>
        <w:ind w:left="420" w:leftChars="200"/>
        <w:rPr>
          <w:bCs/>
        </w:rPr>
      </w:pP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学校建筑、商场建筑、办公建筑</w:t>
      </w:r>
      <w:bookmarkEnd w:id="35"/>
      <w:r>
        <w:rPr>
          <w:rFonts w:hint="eastAsia"/>
        </w:rPr>
        <w:t>，</w:t>
      </w:r>
      <w:r>
        <w:t>根据</w:t>
      </w:r>
      <w:r>
        <w:rPr>
          <w:rFonts w:hint="eastAsia"/>
        </w:rPr>
        <w:t>标准要求的采光照度值根据对应</w:t>
      </w:r>
      <w:r>
        <w:t>房间类型</w:t>
      </w:r>
      <w:r>
        <w:rPr>
          <w:rFonts w:hint="eastAsia"/>
        </w:rPr>
        <w:t>确定。</w:t>
      </w:r>
    </w:p>
    <w:p>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pPr>
              <w:widowControl w:val="0"/>
              <w:jc w:val="center"/>
              <w:rPr>
                <w:szCs w:val="18"/>
              </w:rPr>
            </w:pPr>
            <w:r>
              <w:rPr>
                <w:rFonts w:hint="eastAsia"/>
                <w:szCs w:val="18"/>
              </w:rPr>
              <w:t>采光等级</w:t>
            </w:r>
          </w:p>
        </w:tc>
        <w:tc>
          <w:tcPr>
            <w:tcW w:w="2552" w:type="dxa"/>
            <w:vMerge w:val="restart"/>
            <w:vAlign w:val="center"/>
          </w:tcPr>
          <w:p>
            <w:pPr>
              <w:widowControl w:val="0"/>
              <w:jc w:val="center"/>
              <w:rPr>
                <w:szCs w:val="18"/>
              </w:rPr>
            </w:pPr>
            <w:r>
              <w:rPr>
                <w:rFonts w:hint="eastAsia"/>
                <w:szCs w:val="18"/>
              </w:rPr>
              <w:t>场所名称</w:t>
            </w:r>
          </w:p>
        </w:tc>
        <w:tc>
          <w:tcPr>
            <w:tcW w:w="5393" w:type="dxa"/>
            <w:gridSpan w:val="2"/>
            <w:vAlign w:val="center"/>
          </w:tcPr>
          <w:p>
            <w:pPr>
              <w:widowControl w:val="0"/>
              <w:jc w:val="center"/>
              <w:rPr>
                <w:szCs w:val="18"/>
              </w:rPr>
            </w:pPr>
            <w:r>
              <w:rPr>
                <w:rFonts w:hint="eastAsia"/>
                <w:szCs w:val="18"/>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pPr>
              <w:widowControl w:val="0"/>
              <w:jc w:val="center"/>
              <w:rPr>
                <w:szCs w:val="18"/>
              </w:rPr>
            </w:pPr>
          </w:p>
        </w:tc>
        <w:tc>
          <w:tcPr>
            <w:tcW w:w="2552" w:type="dxa"/>
            <w:vMerge w:val="continue"/>
            <w:vAlign w:val="center"/>
          </w:tcPr>
          <w:p>
            <w:pPr>
              <w:widowControl w:val="0"/>
              <w:jc w:val="center"/>
              <w:rPr>
                <w:szCs w:val="18"/>
              </w:rPr>
            </w:pPr>
          </w:p>
        </w:tc>
        <w:tc>
          <w:tcPr>
            <w:tcW w:w="2409" w:type="dxa"/>
            <w:vAlign w:val="center"/>
          </w:tcPr>
          <w:p>
            <w:pPr>
              <w:widowControl w:val="0"/>
              <w:jc w:val="center"/>
              <w:rPr>
                <w:szCs w:val="18"/>
              </w:rPr>
            </w:pPr>
            <w:r>
              <w:rPr>
                <w:szCs w:val="18"/>
              </w:rPr>
              <w:t>采光系数标准值（%）</w:t>
            </w:r>
          </w:p>
        </w:tc>
        <w:tc>
          <w:tcPr>
            <w:tcW w:w="2984" w:type="dxa"/>
            <w:vAlign w:val="center"/>
          </w:tcPr>
          <w:p>
            <w:pPr>
              <w:widowControl w:val="0"/>
              <w:jc w:val="center"/>
              <w:rPr>
                <w:szCs w:val="18"/>
              </w:rPr>
            </w:pPr>
            <w:r>
              <w:rPr>
                <w:szCs w:val="18"/>
              </w:rPr>
              <w:t>室</w:t>
            </w:r>
            <w:r>
              <w:rPr>
                <w:rFonts w:hint="eastAsia"/>
                <w:szCs w:val="18"/>
              </w:rPr>
              <w:t>内</w:t>
            </w:r>
            <w:r>
              <w:rPr>
                <w:szCs w:val="18"/>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Ⅱ</w:t>
            </w:r>
          </w:p>
        </w:tc>
        <w:tc>
          <w:tcPr>
            <w:tcW w:w="2552" w:type="dxa"/>
            <w:vAlign w:val="center"/>
          </w:tcPr>
          <w:p>
            <w:pPr>
              <w:widowControl w:val="0"/>
              <w:jc w:val="center"/>
              <w:rPr>
                <w:szCs w:val="18"/>
              </w:rPr>
            </w:pPr>
            <w:r>
              <w:rPr>
                <w:rFonts w:hint="eastAsia"/>
                <w:szCs w:val="18"/>
              </w:rPr>
              <w:t>设计室、绘图室</w:t>
            </w:r>
          </w:p>
        </w:tc>
        <w:tc>
          <w:tcPr>
            <w:tcW w:w="2409" w:type="dxa"/>
            <w:vAlign w:val="center"/>
          </w:tcPr>
          <w:p>
            <w:pPr>
              <w:widowControl w:val="0"/>
              <w:jc w:val="center"/>
              <w:rPr>
                <w:szCs w:val="18"/>
              </w:rPr>
            </w:pPr>
            <w:r>
              <w:rPr>
                <w:szCs w:val="18"/>
              </w:rPr>
              <w:t>4.0</w:t>
            </w:r>
          </w:p>
        </w:tc>
        <w:tc>
          <w:tcPr>
            <w:tcW w:w="2984" w:type="dxa"/>
            <w:vAlign w:val="center"/>
          </w:tcPr>
          <w:p>
            <w:pPr>
              <w:widowControl w:val="0"/>
              <w:jc w:val="center"/>
              <w:rPr>
                <w:szCs w:val="18"/>
              </w:rPr>
            </w:pPr>
            <w:r>
              <w:rPr>
                <w:rFonts w:hint="eastAsia"/>
                <w:szCs w:val="18"/>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jc w:val="center"/>
              <w:rPr>
                <w:szCs w:val="18"/>
              </w:rPr>
            </w:pPr>
            <w:r>
              <w:rPr>
                <w:rFonts w:hint="eastAsia"/>
                <w:szCs w:val="18"/>
              </w:rPr>
              <w:t>Ⅲ</w:t>
            </w:r>
          </w:p>
        </w:tc>
        <w:tc>
          <w:tcPr>
            <w:tcW w:w="2552" w:type="dxa"/>
            <w:vAlign w:val="center"/>
          </w:tcPr>
          <w:p>
            <w:pPr>
              <w:widowControl w:val="0"/>
              <w:jc w:val="center"/>
              <w:rPr>
                <w:szCs w:val="18"/>
              </w:rPr>
            </w:pPr>
            <w:r>
              <w:rPr>
                <w:rFonts w:hint="eastAsia"/>
                <w:szCs w:val="18"/>
              </w:rPr>
              <w:t>办公室、会议室</w:t>
            </w:r>
          </w:p>
        </w:tc>
        <w:tc>
          <w:tcPr>
            <w:tcW w:w="2409" w:type="dxa"/>
            <w:vAlign w:val="center"/>
          </w:tcPr>
          <w:p>
            <w:pPr>
              <w:widowControl w:val="0"/>
              <w:jc w:val="center"/>
              <w:rPr>
                <w:szCs w:val="18"/>
              </w:rPr>
            </w:pPr>
            <w:r>
              <w:rPr>
                <w:szCs w:val="18"/>
              </w:rPr>
              <w:t>3.0</w:t>
            </w:r>
          </w:p>
        </w:tc>
        <w:tc>
          <w:tcPr>
            <w:tcW w:w="2984" w:type="dxa"/>
            <w:vAlign w:val="center"/>
          </w:tcPr>
          <w:p>
            <w:pPr>
              <w:widowControl w:val="0"/>
              <w:jc w:val="center"/>
              <w:rPr>
                <w:szCs w:val="18"/>
              </w:rPr>
            </w:pPr>
            <w:r>
              <w:rPr>
                <w:szCs w:val="18"/>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Ⅳ</w:t>
            </w:r>
          </w:p>
        </w:tc>
        <w:tc>
          <w:tcPr>
            <w:tcW w:w="2552" w:type="dxa"/>
            <w:vAlign w:val="center"/>
          </w:tcPr>
          <w:p>
            <w:pPr>
              <w:widowControl w:val="0"/>
              <w:jc w:val="center"/>
              <w:rPr>
                <w:szCs w:val="18"/>
              </w:rPr>
            </w:pPr>
            <w:r>
              <w:rPr>
                <w:rFonts w:hint="eastAsia"/>
                <w:szCs w:val="18"/>
              </w:rPr>
              <w:t>复印室、档案室</w:t>
            </w:r>
          </w:p>
        </w:tc>
        <w:tc>
          <w:tcPr>
            <w:tcW w:w="2409" w:type="dxa"/>
            <w:vAlign w:val="center"/>
          </w:tcPr>
          <w:p>
            <w:pPr>
              <w:widowControl w:val="0"/>
              <w:jc w:val="center"/>
              <w:rPr>
                <w:szCs w:val="18"/>
              </w:rPr>
            </w:pPr>
            <w:r>
              <w:rPr>
                <w:szCs w:val="18"/>
              </w:rPr>
              <w:t>2.0</w:t>
            </w:r>
          </w:p>
        </w:tc>
        <w:tc>
          <w:tcPr>
            <w:tcW w:w="2984" w:type="dxa"/>
            <w:vAlign w:val="center"/>
          </w:tcPr>
          <w:p>
            <w:pPr>
              <w:widowControl w:val="0"/>
              <w:jc w:val="center"/>
              <w:rPr>
                <w:szCs w:val="18"/>
              </w:rPr>
            </w:pPr>
            <w:r>
              <w:rPr>
                <w:szCs w:val="18"/>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jc w:val="center"/>
              <w:rPr>
                <w:szCs w:val="18"/>
              </w:rPr>
            </w:pPr>
            <w:r>
              <w:rPr>
                <w:rFonts w:hint="eastAsia"/>
                <w:szCs w:val="18"/>
              </w:rPr>
              <w:t>Ⅴ</w:t>
            </w:r>
          </w:p>
        </w:tc>
        <w:tc>
          <w:tcPr>
            <w:tcW w:w="2552" w:type="dxa"/>
            <w:vAlign w:val="center"/>
          </w:tcPr>
          <w:p>
            <w:pPr>
              <w:widowControl w:val="0"/>
              <w:jc w:val="center"/>
              <w:rPr>
                <w:szCs w:val="18"/>
              </w:rPr>
            </w:pPr>
            <w:r>
              <w:rPr>
                <w:rFonts w:hint="eastAsia"/>
                <w:szCs w:val="18"/>
              </w:rPr>
              <w:t>走道、楼梯间、卫生间</w:t>
            </w:r>
          </w:p>
        </w:tc>
        <w:tc>
          <w:tcPr>
            <w:tcW w:w="2409" w:type="dxa"/>
            <w:vAlign w:val="center"/>
          </w:tcPr>
          <w:p>
            <w:pPr>
              <w:widowControl w:val="0"/>
              <w:jc w:val="center"/>
              <w:rPr>
                <w:szCs w:val="18"/>
              </w:rPr>
            </w:pPr>
            <w:r>
              <w:rPr>
                <w:szCs w:val="18"/>
              </w:rPr>
              <w:t>1.0</w:t>
            </w:r>
          </w:p>
        </w:tc>
        <w:tc>
          <w:tcPr>
            <w:tcW w:w="2984" w:type="dxa"/>
            <w:vAlign w:val="center"/>
          </w:tcPr>
          <w:p>
            <w:pPr>
              <w:widowControl w:val="0"/>
              <w:jc w:val="center"/>
              <w:rPr>
                <w:szCs w:val="18"/>
              </w:rPr>
            </w:pPr>
            <w:r>
              <w:rPr>
                <w:szCs w:val="18"/>
              </w:rPr>
              <w:t>150</w:t>
            </w:r>
          </w:p>
        </w:tc>
      </w:tr>
      <w:bookmarkEnd w:id="36"/>
    </w:tbl>
    <w:p>
      <w:pPr>
        <w:ind w:firstLine="420"/>
        <w:jc w:val="left"/>
        <w:rPr>
          <w:rFonts w:ascii="微软雅黑" w:hAnsi="微软雅黑" w:eastAsia="微软雅黑"/>
        </w:rPr>
      </w:pPr>
      <w:bookmarkStart w:id="37"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pPr>
              <w:widowControl w:val="0"/>
              <w:jc w:val="center"/>
              <w:rPr>
                <w:szCs w:val="21"/>
              </w:rPr>
            </w:pPr>
            <w:r>
              <w:rPr>
                <w:rFonts w:hint="eastAsia"/>
                <w:szCs w:val="21"/>
              </w:rPr>
              <w:t>采光等级</w:t>
            </w:r>
          </w:p>
        </w:tc>
        <w:tc>
          <w:tcPr>
            <w:tcW w:w="2552" w:type="dxa"/>
            <w:vMerge w:val="restart"/>
            <w:vAlign w:val="center"/>
          </w:tcPr>
          <w:p>
            <w:pPr>
              <w:widowControl w:val="0"/>
              <w:jc w:val="center"/>
              <w:rPr>
                <w:szCs w:val="21"/>
              </w:rPr>
            </w:pPr>
            <w:r>
              <w:rPr>
                <w:rFonts w:hint="eastAsia"/>
                <w:szCs w:val="21"/>
              </w:rPr>
              <w:t>场所名称</w:t>
            </w:r>
          </w:p>
        </w:tc>
        <w:tc>
          <w:tcPr>
            <w:tcW w:w="5386" w:type="dxa"/>
            <w:gridSpan w:val="2"/>
            <w:vAlign w:val="center"/>
          </w:tcPr>
          <w:p>
            <w:pPr>
              <w:widowControl w:val="0"/>
              <w:jc w:val="center"/>
              <w:rPr>
                <w:szCs w:val="21"/>
              </w:rPr>
            </w:pPr>
            <w:r>
              <w:rPr>
                <w:rFonts w:hint="eastAsia"/>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pPr>
              <w:widowControl w:val="0"/>
              <w:jc w:val="center"/>
              <w:rPr>
                <w:szCs w:val="21"/>
              </w:rPr>
            </w:pPr>
          </w:p>
        </w:tc>
        <w:tc>
          <w:tcPr>
            <w:tcW w:w="2552" w:type="dxa"/>
            <w:vMerge w:val="continue"/>
            <w:vAlign w:val="center"/>
          </w:tcPr>
          <w:p>
            <w:pPr>
              <w:widowControl w:val="0"/>
              <w:jc w:val="center"/>
              <w:rPr>
                <w:szCs w:val="21"/>
              </w:rPr>
            </w:pPr>
          </w:p>
        </w:tc>
        <w:tc>
          <w:tcPr>
            <w:tcW w:w="2693" w:type="dxa"/>
            <w:vAlign w:val="center"/>
          </w:tcPr>
          <w:p>
            <w:pPr>
              <w:widowControl w:val="0"/>
              <w:jc w:val="center"/>
              <w:rPr>
                <w:szCs w:val="21"/>
              </w:rPr>
            </w:pPr>
            <w:r>
              <w:rPr>
                <w:rFonts w:hint="eastAsia"/>
                <w:szCs w:val="21"/>
              </w:rPr>
              <w:t>采光系数标准值</w:t>
            </w:r>
          </w:p>
          <w:p>
            <w:pPr>
              <w:widowControl w:val="0"/>
              <w:jc w:val="center"/>
              <w:rPr>
                <w:szCs w:val="21"/>
              </w:rPr>
            </w:pPr>
            <w:r>
              <w:t>（%）</w:t>
            </w:r>
          </w:p>
        </w:tc>
        <w:tc>
          <w:tcPr>
            <w:tcW w:w="2693" w:type="dxa"/>
            <w:vAlign w:val="center"/>
          </w:tcPr>
          <w:p>
            <w:pPr>
              <w:widowControl w:val="0"/>
              <w:jc w:val="center"/>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pPr>
              <w:widowControl w:val="0"/>
              <w:jc w:val="center"/>
              <w:rPr>
                <w:szCs w:val="21"/>
              </w:rPr>
            </w:pPr>
            <w:r>
              <w:rPr>
                <w:rFonts w:hint="eastAsia"/>
                <w:szCs w:val="21"/>
              </w:rPr>
              <w:t>Ⅲ</w:t>
            </w:r>
          </w:p>
        </w:tc>
        <w:tc>
          <w:tcPr>
            <w:tcW w:w="2552" w:type="dxa"/>
            <w:vAlign w:val="center"/>
          </w:tcPr>
          <w:p>
            <w:pPr>
              <w:widowControl w:val="0"/>
              <w:jc w:val="center"/>
              <w:rPr>
                <w:szCs w:val="21"/>
              </w:rPr>
            </w:pPr>
            <w:r>
              <w:rPr>
                <w:rFonts w:hint="eastAsia"/>
                <w:szCs w:val="21"/>
              </w:rPr>
              <w:t>专用教室、实验室、阶梯教室、教师办公室</w:t>
            </w:r>
          </w:p>
        </w:tc>
        <w:tc>
          <w:tcPr>
            <w:tcW w:w="2693" w:type="dxa"/>
            <w:vAlign w:val="center"/>
          </w:tcPr>
          <w:p>
            <w:pPr>
              <w:widowControl w:val="0"/>
              <w:jc w:val="center"/>
              <w:rPr>
                <w:szCs w:val="21"/>
              </w:rPr>
            </w:pPr>
            <w:r>
              <w:rPr>
                <w:rFonts w:hint="eastAsia"/>
                <w:szCs w:val="21"/>
              </w:rPr>
              <w:t>3.0</w:t>
            </w:r>
          </w:p>
        </w:tc>
        <w:tc>
          <w:tcPr>
            <w:tcW w:w="2693" w:type="dxa"/>
            <w:vAlign w:val="center"/>
          </w:tcPr>
          <w:p>
            <w:pPr>
              <w:widowControl w:val="0"/>
              <w:jc w:val="center"/>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21"/>
              </w:rPr>
            </w:pPr>
            <w:r>
              <w:rPr>
                <w:rFonts w:hint="eastAsia"/>
                <w:szCs w:val="21"/>
              </w:rPr>
              <w:t>Ⅴ</w:t>
            </w:r>
          </w:p>
        </w:tc>
        <w:tc>
          <w:tcPr>
            <w:tcW w:w="2552" w:type="dxa"/>
            <w:vAlign w:val="center"/>
          </w:tcPr>
          <w:p>
            <w:pPr>
              <w:widowControl w:val="0"/>
              <w:jc w:val="center"/>
              <w:rPr>
                <w:szCs w:val="21"/>
              </w:rPr>
            </w:pPr>
            <w:r>
              <w:rPr>
                <w:rFonts w:hint="eastAsia"/>
                <w:szCs w:val="21"/>
              </w:rPr>
              <w:t>走道、楼梯间、卫生间</w:t>
            </w:r>
          </w:p>
        </w:tc>
        <w:tc>
          <w:tcPr>
            <w:tcW w:w="2693" w:type="dxa"/>
            <w:vAlign w:val="center"/>
          </w:tcPr>
          <w:p>
            <w:pPr>
              <w:widowControl w:val="0"/>
              <w:jc w:val="center"/>
              <w:rPr>
                <w:szCs w:val="21"/>
              </w:rPr>
            </w:pPr>
            <w:r>
              <w:rPr>
                <w:rFonts w:hint="eastAsia"/>
                <w:szCs w:val="21"/>
              </w:rPr>
              <w:t>1.0</w:t>
            </w:r>
          </w:p>
          <w:p>
            <w:pPr>
              <w:widowControl w:val="0"/>
              <w:jc w:val="center"/>
              <w:rPr>
                <w:szCs w:val="21"/>
              </w:rPr>
            </w:pPr>
          </w:p>
          <w:p>
            <w:pPr>
              <w:widowControl w:val="0"/>
              <w:jc w:val="center"/>
              <w:rPr>
                <w:szCs w:val="21"/>
              </w:rPr>
            </w:pPr>
          </w:p>
          <w:p>
            <w:pPr>
              <w:widowControl w:val="0"/>
              <w:jc w:val="center"/>
              <w:rPr>
                <w:szCs w:val="21"/>
              </w:rPr>
            </w:pPr>
          </w:p>
          <w:p>
            <w:pPr>
              <w:widowControl w:val="0"/>
              <w:jc w:val="center"/>
              <w:rPr>
                <w:szCs w:val="21"/>
              </w:rPr>
            </w:pPr>
          </w:p>
        </w:tc>
        <w:tc>
          <w:tcPr>
            <w:tcW w:w="2693" w:type="dxa"/>
            <w:vAlign w:val="center"/>
          </w:tcPr>
          <w:p>
            <w:pPr>
              <w:widowControl w:val="0"/>
              <w:jc w:val="center"/>
              <w:rPr>
                <w:szCs w:val="21"/>
              </w:rPr>
            </w:pPr>
            <w:r>
              <w:rPr>
                <w:rFonts w:hint="eastAsia"/>
                <w:szCs w:val="21"/>
              </w:rPr>
              <w:t>150</w:t>
            </w:r>
          </w:p>
        </w:tc>
      </w:tr>
    </w:tbl>
    <w:p>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sz w:val="24"/>
        </w:rPr>
      </w:pPr>
    </w:p>
    <w:p>
      <w:pPr>
        <w:pStyle w:val="3"/>
        <w:spacing w:line="360" w:lineRule="auto"/>
        <w:ind w:firstLine="420"/>
        <w:rPr>
          <w:b/>
          <w:lang w:val="en-US"/>
        </w:rPr>
      </w:pPr>
      <w:r>
        <w:rPr>
          <w:rFonts w:hint="eastAsia"/>
          <w:lang w:val="en-US"/>
        </w:rPr>
        <w:t>■</w:t>
      </w:r>
      <w:r>
        <w:rPr>
          <w:rFonts w:hint="eastAsia"/>
          <w:b/>
          <w:lang w:val="en-US"/>
        </w:rPr>
        <w:t>《绿色建筑评价标准技术细则2019》</w:t>
      </w:r>
    </w:p>
    <w:p>
      <w:pPr>
        <w:pStyle w:val="3"/>
        <w:spacing w:line="360" w:lineRule="auto"/>
        <w:ind w:firstLine="420"/>
        <w:rPr>
          <w:sz w:val="32"/>
          <w:lang w:val="en-US"/>
        </w:rPr>
      </w:pPr>
      <w:r>
        <w:rPr>
          <w:rFonts w:hint="eastAsia"/>
        </w:rPr>
        <w:t>公共建筑动态采光要求：</w:t>
      </w:r>
    </w:p>
    <w:p>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pPr>
    </w:p>
    <w:p>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pPr>
    </w:p>
    <w:p>
      <w:pPr>
        <w:pStyle w:val="2"/>
        <w:ind w:left="432" w:hanging="432"/>
      </w:pPr>
      <w:bookmarkStart w:id="38" w:name="_Toc4294"/>
      <w:r>
        <w:rPr>
          <w:rFonts w:hint="eastAsia"/>
        </w:rPr>
        <w:t>动态采光</w:t>
      </w:r>
      <w:r>
        <w:t>概述</w:t>
      </w:r>
      <w:bookmarkEnd w:id="37"/>
      <w:bookmarkEnd w:id="38"/>
    </w:p>
    <w:p>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75165387"/>
      <w:bookmarkStart w:id="40" w:name="_Toc264043630"/>
      <w:bookmarkStart w:id="41" w:name="_Toc264569237"/>
      <w:bookmarkStart w:id="42" w:name="_Toc290149059"/>
      <w:bookmarkStart w:id="43" w:name="_Toc290209317"/>
      <w:bookmarkStart w:id="44" w:name="_Toc290209341"/>
      <w:bookmarkStart w:id="45" w:name="_Toc312399796"/>
    </w:p>
    <w:p>
      <w:pPr>
        <w:pStyle w:val="3"/>
      </w:pPr>
      <w:r>
        <w:t xml:space="preserve"> </w:t>
      </w:r>
    </w:p>
    <w:bookmarkEnd w:id="39"/>
    <w:bookmarkEnd w:id="40"/>
    <w:bookmarkEnd w:id="41"/>
    <w:bookmarkEnd w:id="42"/>
    <w:bookmarkEnd w:id="43"/>
    <w:bookmarkEnd w:id="44"/>
    <w:bookmarkEnd w:id="45"/>
    <w:p>
      <w:pPr>
        <w:pStyle w:val="4"/>
        <w:tabs>
          <w:tab w:val="left" w:pos="862"/>
          <w:tab w:val="clear" w:pos="578"/>
        </w:tabs>
        <w:ind w:left="862"/>
      </w:pPr>
      <w:bookmarkStart w:id="46" w:name="_Toc14498"/>
      <w:r>
        <w:rPr>
          <w:rFonts w:hint="eastAsia"/>
        </w:rPr>
        <w:t>计算方法</w:t>
      </w:r>
      <w:bookmarkEnd w:id="46"/>
    </w:p>
    <w:p>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7" w:name="_Toc12359"/>
      <w:r>
        <w:t>软件</w:t>
      </w:r>
      <w:r>
        <w:rPr>
          <w:rFonts w:hint="eastAsia"/>
        </w:rPr>
        <w:t>选用</w:t>
      </w:r>
      <w:bookmarkEnd w:id="47"/>
    </w:p>
    <w:p>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0" w:name="_Toc512608187"/>
      <w:bookmarkStart w:id="51" w:name="_Toc30174"/>
      <w:r>
        <w:rPr>
          <w:rFonts w:hint="eastAsia"/>
        </w:rPr>
        <w:t>采光计算</w:t>
      </w:r>
      <w:r>
        <w:t>参数</w:t>
      </w:r>
      <w:r>
        <w:rPr>
          <w:rFonts w:hint="eastAsia"/>
        </w:rPr>
        <w:t>取值</w:t>
      </w:r>
      <w:bookmarkEnd w:id="50"/>
      <w:bookmarkEnd w:id="51"/>
    </w:p>
    <w:p>
      <w:pPr>
        <w:pStyle w:val="4"/>
      </w:pPr>
      <w:bookmarkStart w:id="52" w:name="_Toc264569236"/>
      <w:bookmarkStart w:id="53" w:name="_Toc275165386"/>
      <w:bookmarkStart w:id="54" w:name="_Toc290149058"/>
      <w:bookmarkStart w:id="55" w:name="_Toc290209316"/>
      <w:bookmarkStart w:id="56" w:name="_Toc290209340"/>
      <w:bookmarkStart w:id="57" w:name="_Toc312399795"/>
      <w:bookmarkStart w:id="58" w:name="_Toc264043629"/>
      <w:bookmarkStart w:id="59" w:name="_Toc512608188"/>
      <w:bookmarkStart w:id="60" w:name="_Toc28919"/>
      <w:r>
        <w:t>模拟</w:t>
      </w:r>
      <w:bookmarkEnd w:id="52"/>
      <w:bookmarkEnd w:id="53"/>
      <w:bookmarkEnd w:id="54"/>
      <w:bookmarkEnd w:id="55"/>
      <w:bookmarkEnd w:id="56"/>
      <w:bookmarkEnd w:id="57"/>
      <w:bookmarkEnd w:id="58"/>
      <w:r>
        <w:rPr>
          <w:rFonts w:hint="eastAsia"/>
        </w:rPr>
        <w:t>分析条件说明</w:t>
      </w:r>
      <w:bookmarkEnd w:id="59"/>
      <w:bookmarkEnd w:id="60"/>
    </w:p>
    <w:p>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pPr>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pPr>
              <w:jc w:val="center"/>
            </w:pPr>
            <w:bookmarkStart w:id="66" w:name="小房间网格大小"/>
            <w:r>
              <w:rPr>
                <w:rFonts w:hint="eastAsia"/>
              </w:rPr>
              <w:t>0.25</w:t>
            </w:r>
            <w:bookmarkEnd w:id="6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bookmarkStart w:id="67" w:name="网格划分房间面积"/>
            <w:r>
              <w:rPr>
                <w:rFonts w:hint="eastAsia"/>
              </w:rPr>
              <w:t>10~100</w:t>
            </w:r>
            <w:bookmarkEnd w:id="67"/>
          </w:p>
        </w:tc>
        <w:tc>
          <w:tcPr>
            <w:tcW w:w="3272" w:type="dxa"/>
            <w:shd w:val="clear" w:color="auto" w:fill="auto"/>
            <w:vAlign w:val="center"/>
          </w:tcPr>
          <w:p>
            <w:pPr>
              <w:jc w:val="center"/>
            </w:pPr>
            <w:bookmarkStart w:id="68" w:name="网格大小"/>
            <w:r>
              <w:rPr>
                <w:rFonts w:hint="eastAsia"/>
              </w:rPr>
              <w:t>0.50</w:t>
            </w:r>
            <w:bookmarkEnd w:id="6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pPr>
              <w:jc w:val="center"/>
            </w:pPr>
            <w:bookmarkStart w:id="70" w:name="大房间网格大小"/>
            <w:r>
              <w:rPr>
                <w:rFonts w:hint="eastAsia"/>
              </w:rPr>
              <w:t>1.00</w:t>
            </w:r>
            <w:bookmarkEnd w:id="70"/>
          </w:p>
        </w:tc>
      </w:tr>
    </w:tbl>
    <w:p>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pStyle w:val="4"/>
      </w:pPr>
      <w:bookmarkStart w:id="71" w:name="_Toc26557"/>
      <w:r>
        <w:rPr>
          <w:rFonts w:hint="eastAsia"/>
        </w:rPr>
        <w:t>建筑饰面材料参数</w:t>
      </w:r>
      <w:bookmarkEnd w:id="64"/>
      <w:bookmarkEnd w:id="71"/>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pPr>
              <w:jc w:val="center"/>
            </w:pPr>
            <w:r>
              <w:rPr>
                <w:rFonts w:hint="eastAsia"/>
              </w:rPr>
              <w:t>顶棚</w:t>
            </w:r>
          </w:p>
        </w:tc>
        <w:tc>
          <w:tcPr>
            <w:tcW w:w="1661" w:type="dxa"/>
            <w:tcBorders>
              <w:top w:val="single" w:color="auto" w:sz="12" w:space="0"/>
              <w:bottom w:val="single" w:color="auto" w:sz="4" w:space="0"/>
            </w:tcBorders>
            <w:shd w:val="clear" w:color="auto" w:fill="E6E6E6"/>
          </w:tcPr>
          <w:p>
            <w:pPr>
              <w:jc w:val="center"/>
            </w:pPr>
            <w:r>
              <w:rPr>
                <w:rFonts w:hint="eastAsia"/>
              </w:rPr>
              <w:t>地面</w:t>
            </w:r>
          </w:p>
        </w:tc>
        <w:tc>
          <w:tcPr>
            <w:tcW w:w="1661" w:type="dxa"/>
            <w:tcBorders>
              <w:top w:val="single" w:color="auto" w:sz="12" w:space="0"/>
              <w:bottom w:val="single" w:color="auto" w:sz="4" w:space="0"/>
            </w:tcBorders>
            <w:shd w:val="clear" w:color="auto" w:fill="E6E6E6"/>
          </w:tcPr>
          <w:p>
            <w:pPr>
              <w:jc w:val="center"/>
            </w:pPr>
            <w:r>
              <w:rPr>
                <w:rFonts w:hint="eastAsia"/>
              </w:rPr>
              <w:t>墙面</w:t>
            </w:r>
          </w:p>
        </w:tc>
        <w:tc>
          <w:tcPr>
            <w:tcW w:w="1662" w:type="dxa"/>
            <w:tcBorders>
              <w:top w:val="single" w:color="auto" w:sz="12" w:space="0"/>
              <w:bottom w:val="single" w:color="auto" w:sz="4" w:space="0"/>
            </w:tcBorders>
            <w:shd w:val="clear" w:color="auto" w:fill="E6E6E6"/>
          </w:tcPr>
          <w:p>
            <w:pPr>
              <w:jc w:val="center"/>
            </w:pPr>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pPr>
              <w:jc w:val="center"/>
            </w:pPr>
            <w:r>
              <w:rPr>
                <w:rFonts w:hint="eastAsia"/>
              </w:rPr>
              <w:t>反射比材料设计取值</w:t>
            </w:r>
          </w:p>
        </w:tc>
        <w:tc>
          <w:tcPr>
            <w:tcW w:w="1661" w:type="dxa"/>
            <w:tcBorders>
              <w:top w:val="single" w:color="auto" w:sz="4" w:space="0"/>
            </w:tcBorders>
            <w:shd w:val="clear" w:color="auto" w:fill="auto"/>
            <w:vAlign w:val="center"/>
          </w:tcPr>
          <w:p>
            <w:pPr>
              <w:jc w:val="center"/>
            </w:pPr>
            <w:bookmarkStart w:id="72" w:name="顶棚反射比"/>
            <w:r>
              <w:rPr>
                <w:rFonts w:hint="eastAsia"/>
              </w:rPr>
              <w:t>0.75</w:t>
            </w:r>
            <w:bookmarkEnd w:id="72"/>
          </w:p>
        </w:tc>
        <w:tc>
          <w:tcPr>
            <w:tcW w:w="1661" w:type="dxa"/>
            <w:tcBorders>
              <w:top w:val="single" w:color="auto" w:sz="4" w:space="0"/>
            </w:tcBorders>
            <w:vAlign w:val="center"/>
          </w:tcPr>
          <w:p>
            <w:pPr>
              <w:jc w:val="center"/>
            </w:pPr>
            <w:bookmarkStart w:id="73" w:name="地面反射比"/>
            <w:r>
              <w:rPr>
                <w:rFonts w:hint="eastAsia"/>
              </w:rPr>
              <w:t>0.30</w:t>
            </w:r>
            <w:bookmarkEnd w:id="73"/>
          </w:p>
        </w:tc>
        <w:tc>
          <w:tcPr>
            <w:tcW w:w="1661" w:type="dxa"/>
            <w:tcBorders>
              <w:top w:val="single" w:color="auto" w:sz="4" w:space="0"/>
            </w:tcBorders>
            <w:vAlign w:val="center"/>
          </w:tcPr>
          <w:p>
            <w:pPr>
              <w:jc w:val="center"/>
            </w:pPr>
            <w:bookmarkStart w:id="74" w:name="墙面反射比"/>
            <w:r>
              <w:rPr>
                <w:rFonts w:hint="eastAsia"/>
              </w:rPr>
              <w:t>0.60</w:t>
            </w:r>
            <w:bookmarkEnd w:id="74"/>
          </w:p>
        </w:tc>
        <w:tc>
          <w:tcPr>
            <w:tcW w:w="1662" w:type="dxa"/>
            <w:tcBorders>
              <w:top w:val="single" w:color="auto" w:sz="4" w:space="0"/>
            </w:tcBorders>
            <w:vAlign w:val="center"/>
          </w:tcPr>
          <w:p>
            <w:pPr>
              <w:jc w:val="center"/>
            </w:pPr>
            <w:bookmarkStart w:id="75" w:name="外表面反射比"/>
            <w:r>
              <w:rPr>
                <w:rFonts w:hint="eastAsia"/>
              </w:rPr>
              <w:t>0.30</w:t>
            </w:r>
            <w:bookmarkEnd w:id="75"/>
          </w:p>
        </w:tc>
      </w:tr>
    </w:tbl>
    <w:p>
      <w:pPr>
        <w:pStyle w:val="14"/>
        <w:spacing w:line="360" w:lineRule="auto"/>
        <w:ind w:firstLine="360"/>
        <w:rPr>
          <w:rFonts w:ascii="Times New Roman" w:hAnsi="Times New Roman"/>
          <w:sz w:val="18"/>
          <w:szCs w:val="18"/>
        </w:rPr>
      </w:pPr>
    </w:p>
    <w:p>
      <w:pPr>
        <w:pStyle w:val="4"/>
      </w:pPr>
      <w:bookmarkStart w:id="76" w:name="_Toc10276"/>
      <w:r>
        <w:rPr>
          <w:rFonts w:hint="eastAsia"/>
        </w:rPr>
        <w:t>门窗类型参数</w:t>
      </w:r>
      <w:bookmarkEnd w:id="76"/>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7" w:name="_Toc8694"/>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3333</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9" w:name="_Toc18398"/>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36</w:t>
            </w:r>
          </w:p>
        </w:tc>
        <w:tc>
          <w:tcPr>
            <w:vAlign w:val="center"/>
          </w:tcPr>
          <w:p>
            <w:pPr>
              <w:jc w:val="center"/>
              <w:rPr>
                <w:sz w:val="18"/>
                <w:szCs w:val="18"/>
              </w:rPr>
            </w:pPr>
            <w:r>
              <w:rPr>
                <w:sz w:val="18"/>
                <w:szCs w:val="18"/>
              </w:rPr>
              <w:t>4200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81" w:name="窗污染折减系数"/>
      <w:bookmarkEnd w:id="81"/>
    </w:p>
    <w:p>
      <w:pPr>
        <w:pStyle w:val="2"/>
        <w:ind w:left="432" w:hanging="432"/>
      </w:pPr>
      <w:bookmarkStart w:id="82" w:name="_Toc3774"/>
      <w:r>
        <w:rPr>
          <w:rFonts w:hint="eastAsia"/>
        </w:rPr>
        <w:t>动态采光达标统计</w:t>
      </w:r>
      <w:bookmarkEnd w:id="82"/>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1003[多媒体教室]</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195.83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1026[楼梯间]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29.60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1031[楼梯间]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21.80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1038[卫生间]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41.33</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41.29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2004[会议室]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196.07</w:t>
            </w:r>
          </w:p>
        </w:tc>
        <w:tc>
          <w:tcPr>
            <w:gridSpan w:val="2"/>
            <w:vAlign w:val="center"/>
          </w:tcPr>
          <w:p>
            <w:pPr>
              <w:jc w:val="center"/>
              <w:rPr>
                <w:sz w:val="18"/>
                <w:szCs w:val="18"/>
              </w:rPr>
            </w:pPr>
            <w:r>
              <w:rPr>
                <w:sz w:val="18"/>
                <w:szCs w:val="18"/>
              </w:rPr>
              <w:t>82</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2025[楼梯间]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29.60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2034[楼梯间]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25.74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2040[楼梯间]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21.80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3</w:t>
            </w:r>
          </w:p>
        </w:tc>
        <w:tc>
          <w:tcPr>
            <w:gridSpan w:val="2"/>
            <w:vAlign w:val="center"/>
          </w:tcPr>
          <w:p>
            <w:pPr>
              <w:jc w:val="center"/>
              <w:rPr>
                <w:sz w:val="18"/>
                <w:szCs w:val="18"/>
              </w:rPr>
            </w:pPr>
            <w:r>
              <w:rPr>
                <w:sz w:val="18"/>
                <w:szCs w:val="18"/>
              </w:rPr>
              <w:t>3001[卫生间]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41.29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3028[楼梯间]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29.60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3042[楼梯间]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25.74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3049[楼梯间]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21.80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restart"/>
            <w:vAlign w:val="center"/>
          </w:tcPr>
          <w:p>
            <w:pPr>
              <w:jc w:val="center"/>
              <w:rPr>
                <w:sz w:val="18"/>
                <w:szCs w:val="18"/>
              </w:rPr>
            </w:pPr>
            <w:r>
              <w:rPr>
                <w:sz w:val="18"/>
                <w:szCs w:val="18"/>
              </w:rPr>
              <w:t>4</w:t>
            </w:r>
          </w:p>
        </w:tc>
        <w:tc>
          <w:tcPr>
            <w:gridSpan w:val="2"/>
            <w:vAlign w:val="center"/>
          </w:tcPr>
          <w:p>
            <w:pPr>
              <w:jc w:val="center"/>
              <w:rPr>
                <w:sz w:val="18"/>
                <w:szCs w:val="18"/>
              </w:rPr>
            </w:pPr>
            <w:r>
              <w:rPr>
                <w:sz w:val="18"/>
                <w:szCs w:val="18"/>
              </w:rPr>
              <w:t>4001[卫生间]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41.29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4002[会议室]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249.34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4003[酒吧、茶座]</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249.32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4004[会议室]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150.46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4006[健身房]</w:t>
            </w:r>
          </w:p>
        </w:tc>
        <w:tc>
          <w:tcPr>
            <w:gridSpan w:val="2"/>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91.61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4007[健身房]</w:t>
            </w:r>
          </w:p>
        </w:tc>
        <w:tc>
          <w:tcPr>
            <w:gridSpan w:val="2"/>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91.61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4009[健身房]</w:t>
            </w:r>
          </w:p>
        </w:tc>
        <w:tc>
          <w:tcPr>
            <w:gridSpan w:val="2"/>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91.61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4010[文印间]</w:t>
            </w:r>
          </w:p>
        </w:tc>
        <w:tc>
          <w:tcPr>
            <w:gridSpan w:val="2"/>
            <w:vAlign w:val="center"/>
          </w:tcPr>
          <w:p>
            <w:pPr>
              <w:jc w:val="center"/>
              <w:rPr>
                <w:sz w:val="18"/>
                <w:szCs w:val="18"/>
              </w:rPr>
            </w:pPr>
            <w:r>
              <w:rPr>
                <w:sz w:val="18"/>
                <w:szCs w:val="18"/>
              </w:rPr>
              <w:t>复印室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91.61</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4012[档案室]</w:t>
            </w:r>
          </w:p>
        </w:tc>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35.16</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4013[楼梯间]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29.58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4016[楼梯间]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25.74</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4017[楼梯间]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21.80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18"/>
                <w:szCs w:val="18"/>
              </w:rPr>
            </w:pPr>
            <w:r>
              <w:rPr>
                <w:sz w:val="18"/>
                <w:szCs w:val="18"/>
              </w:rPr>
              <w:t>房间类型</w:t>
            </w:r>
          </w:p>
        </w:tc>
        <w:tc>
          <w:tcPr>
            <w:gridSpan w:val="2"/>
            <w:shd w:val="clear" w:color="auto" w:fill="E6E6E6"/>
            <w:vAlign w:val="center"/>
          </w:tcPr>
          <w:p>
            <w:pPr>
              <w:jc w:val="center"/>
              <w:rPr>
                <w:sz w:val="18"/>
                <w:szCs w:val="18"/>
              </w:rPr>
            </w:pPr>
            <w:r>
              <w:rPr>
                <w:sz w:val="18"/>
                <w:szCs w:val="18"/>
              </w:rPr>
              <w:t>采光类型</w:t>
            </w:r>
          </w:p>
        </w:tc>
        <w:tc>
          <w:tcPr>
            <w:gridSpan w:val="2"/>
            <w:shd w:val="clear" w:color="auto" w:fill="E6E6E6"/>
            <w:vAlign w:val="center"/>
          </w:tcPr>
          <w:p>
            <w:pPr>
              <w:jc w:val="center"/>
              <w:rPr>
                <w:sz w:val="18"/>
                <w:szCs w:val="18"/>
              </w:rPr>
            </w:pPr>
            <w:r>
              <w:rPr>
                <w:sz w:val="18"/>
                <w:szCs w:val="18"/>
              </w:rPr>
              <w:t>设计照度(Lx)</w:t>
            </w:r>
          </w:p>
        </w:tc>
        <w:tc>
          <w:tcPr>
            <w:gridSpan w:val="3"/>
            <w:shd w:val="clear" w:color="auto" w:fill="E6E6E6"/>
            <w:vAlign w:val="center"/>
          </w:tcPr>
          <w:p>
            <w:pPr>
              <w:jc w:val="center"/>
              <w:rPr>
                <w:sz w:val="18"/>
                <w:szCs w:val="18"/>
              </w:rPr>
            </w:pPr>
            <w:r>
              <w:rPr>
                <w:sz w:val="18"/>
                <w:szCs w:val="18"/>
              </w:rPr>
              <w:t>总面积(m2)</w:t>
            </w:r>
          </w:p>
        </w:tc>
        <w:tc>
          <w:tcPr>
            <w:gridSpan w:val="3"/>
            <w:shd w:val="clear" w:color="auto" w:fill="E6E6E6"/>
            <w:vAlign w:val="center"/>
          </w:tcPr>
          <w:p>
            <w:pPr>
              <w:jc w:val="center"/>
              <w:rPr>
                <w:sz w:val="18"/>
                <w:szCs w:val="18"/>
              </w:rPr>
            </w:pPr>
            <w:r>
              <w:rPr>
                <w:sz w:val="18"/>
                <w:szCs w:val="18"/>
              </w:rPr>
              <w:t>达标面积比例(%)</w:t>
            </w:r>
          </w:p>
        </w:tc>
        <w:tc>
          <w:tcPr>
            <w:gridSpan w:val="3"/>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gridSpan w:val="3"/>
            <w:vAlign w:val="center"/>
          </w:tcPr>
          <w:p>
            <w:pPr>
              <w:jc w:val="center"/>
              <w:rPr>
                <w:sz w:val="18"/>
                <w:szCs w:val="18"/>
              </w:rPr>
            </w:pPr>
            <w:r>
              <w:rPr>
                <w:sz w:val="18"/>
                <w:szCs w:val="18"/>
              </w:rPr>
              <w:t>195.83</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282.78</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gridSpan w:val="3"/>
            <w:vAlign w:val="center"/>
          </w:tcPr>
          <w:p>
            <w:pPr>
              <w:jc w:val="center"/>
              <w:rPr>
                <w:sz w:val="18"/>
                <w:szCs w:val="18"/>
              </w:rPr>
            </w:pPr>
            <w:r>
              <w:rPr>
                <w:sz w:val="18"/>
                <w:szCs w:val="18"/>
              </w:rPr>
              <w:t>165.21</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gridSpan w:val="3"/>
            <w:vAlign w:val="center"/>
          </w:tcPr>
          <w:p>
            <w:pPr>
              <w:jc w:val="center"/>
              <w:rPr>
                <w:sz w:val="18"/>
                <w:szCs w:val="18"/>
              </w:rPr>
            </w:pPr>
            <w:r>
              <w:rPr>
                <w:sz w:val="18"/>
                <w:szCs w:val="18"/>
              </w:rPr>
              <w:t>595.86</w:t>
            </w:r>
          </w:p>
        </w:tc>
        <w:tc>
          <w:tcPr>
            <w:gridSpan w:val="3"/>
            <w:vAlign w:val="center"/>
          </w:tcPr>
          <w:p>
            <w:pPr>
              <w:jc w:val="center"/>
              <w:rPr>
                <w:sz w:val="18"/>
                <w:szCs w:val="18"/>
              </w:rPr>
            </w:pPr>
            <w:r>
              <w:rPr>
                <w:sz w:val="18"/>
                <w:szCs w:val="18"/>
              </w:rPr>
              <w:t>94</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249.32</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健身房</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274.82</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复印室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91.61</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35.16</w:t>
            </w:r>
          </w:p>
        </w:tc>
        <w:tc>
          <w:tcPr>
            <w:gridSpan w:val="3"/>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9"/>
            <w:vAlign w:val="center"/>
          </w:tcPr>
          <w:p>
            <w:pPr>
              <w:jc w:val="center"/>
              <w:rPr>
                <w:sz w:val="18"/>
                <w:szCs w:val="18"/>
              </w:rPr>
            </w:pPr>
            <w:r>
              <w:rPr>
                <w:sz w:val="18"/>
                <w:szCs w:val="18"/>
              </w:rPr>
              <w:t>多区域面积加权平均</w:t>
            </w:r>
          </w:p>
        </w:tc>
        <w:tc>
          <w:tcPr>
            <w:gridSpan w:val="3"/>
            <w:vAlign w:val="center"/>
          </w:tcPr>
          <w:p>
            <w:pPr>
              <w:jc w:val="center"/>
              <w:rPr>
                <w:sz w:val="18"/>
                <w:szCs w:val="18"/>
              </w:rPr>
            </w:pPr>
            <w:r>
              <w:rPr>
                <w:sz w:val="18"/>
                <w:szCs w:val="18"/>
              </w:rPr>
              <w:t>98</w:t>
            </w:r>
          </w:p>
        </w:tc>
        <w:tc>
          <w:tcPr>
            <w:gridSpan w:val="3"/>
            <w:vAlign w:val="center"/>
          </w:tcPr>
          <w:p>
            <w:pPr>
              <w:jc w:val="center"/>
              <w:rPr>
                <w:sz w:val="18"/>
                <w:szCs w:val="18"/>
              </w:rPr>
            </w:pPr>
            <w:r>
              <w:rPr>
                <w:b/>
                <w:sz w:val="18"/>
                <w:szCs w:val="18"/>
              </w:rPr>
              <w:t>3分</w:t>
            </w:r>
          </w:p>
        </w:tc>
      </w:tr>
    </w:tbl>
    <w:p>
      <w:pPr>
        <w:pStyle w:val="3"/>
        <w:rPr>
          <w:rFonts w:ascii="宋体" w:hAnsi="宋体"/>
          <w:sz w:val="18"/>
          <w:szCs w:val="18"/>
          <w:lang w:val="en-US"/>
        </w:rPr>
      </w:pPr>
      <w:bookmarkStart w:id="83" w:name="达标率表格"/>
      <w:bookmarkEnd w:id="83"/>
    </w:p>
    <w:p>
      <w:pPr>
        <w:pStyle w:val="2"/>
        <w:ind w:left="432" w:hanging="432"/>
      </w:pPr>
      <w:bookmarkStart w:id="84" w:name="_Toc513555457"/>
      <w:bookmarkStart w:id="85" w:name="_Toc30787"/>
      <w:r>
        <w:rPr>
          <w:rFonts w:hint="eastAsia"/>
        </w:rPr>
        <w:t>动态采光</w:t>
      </w:r>
      <w:bookmarkEnd w:id="84"/>
      <w:r>
        <w:rPr>
          <w:rFonts w:hint="eastAsia"/>
        </w:rPr>
        <w:t>统计图</w:t>
      </w:r>
      <w:bookmarkEnd w:id="85"/>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6" w:name="逐日统计图"/>
      <w:bookmarkEnd w:id="86"/>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7" w:name="逐月统计图"/>
      <w:bookmarkEnd w:id="87"/>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Pr>
        <w:pStyle w:val="2"/>
        <w:ind w:left="432" w:hanging="432"/>
      </w:pPr>
      <w:bookmarkStart w:id="88" w:name="动态采光彩图"/>
      <w:bookmarkStart w:id="89" w:name="_Toc2423"/>
      <w:r>
        <w:t>动态采光彩图</w:t>
      </w:r>
      <w:bookmarkEnd w:id="88"/>
      <w:bookmarkEnd w:id="89"/>
    </w:p>
    <w:p>
      <w:pPr>
        <w:jc w:val="center"/>
      </w:pPr>
      <w:r>
        <w:drawing>
          <wp:inline distT="0" distB="0" distL="0" distR="0">
            <wp:extent cx="5667375" cy="68484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6848475"/>
                    </a:xfrm>
                    <a:prstGeom prst="rect">
                      <a:avLst/>
                    </a:prstGeom>
                  </pic:spPr>
                </pic:pic>
              </a:graphicData>
            </a:graphic>
          </wp:inline>
        </w:drawing>
      </w:r>
    </w:p>
    <w:p>
      <w:pPr>
        <w:jc w:val="center"/>
      </w:pPr>
      <w:r>
        <w:t>1层</w:t>
      </w:r>
    </w:p>
    <w:p>
      <w:pPr>
        <w:jc w:val="center"/>
      </w:pPr>
      <w:r>
        <w:drawing>
          <wp:inline distT="0" distB="0" distL="0" distR="0">
            <wp:extent cx="5667375" cy="70580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7058025"/>
                    </a:xfrm>
                    <a:prstGeom prst="rect">
                      <a:avLst/>
                    </a:prstGeom>
                  </pic:spPr>
                </pic:pic>
              </a:graphicData>
            </a:graphic>
          </wp:inline>
        </w:drawing>
      </w:r>
    </w:p>
    <w:p>
      <w:pPr>
        <w:jc w:val="center"/>
      </w:pPr>
      <w:r>
        <w:t>2层</w:t>
      </w:r>
    </w:p>
    <w:p>
      <w:pPr>
        <w:jc w:val="center"/>
      </w:pPr>
      <w:r>
        <w:drawing>
          <wp:inline distT="0" distB="0" distL="0" distR="0">
            <wp:extent cx="5667375" cy="71342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7134225"/>
                    </a:xfrm>
                    <a:prstGeom prst="rect">
                      <a:avLst/>
                    </a:prstGeom>
                  </pic:spPr>
                </pic:pic>
              </a:graphicData>
            </a:graphic>
          </wp:inline>
        </w:drawing>
      </w:r>
    </w:p>
    <w:p>
      <w:pPr>
        <w:jc w:val="center"/>
      </w:pPr>
      <w:r>
        <w:t>3层</w:t>
      </w:r>
    </w:p>
    <w:p>
      <w:pPr>
        <w:jc w:val="center"/>
      </w:pPr>
      <w:r>
        <w:drawing>
          <wp:inline distT="0" distB="0" distL="0" distR="0">
            <wp:extent cx="4981575" cy="8010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4981575" cy="8010525"/>
                    </a:xfrm>
                    <a:prstGeom prst="rect">
                      <a:avLst/>
                    </a:prstGeom>
                  </pic:spPr>
                </pic:pic>
              </a:graphicData>
            </a:graphic>
          </wp:inline>
        </w:drawing>
      </w:r>
    </w:p>
    <w:p>
      <w:pPr>
        <w:jc w:val="center"/>
      </w:pPr>
      <w:r>
        <w:t>4层</w:t>
      </w:r>
    </w:p>
    <w:p>
      <w:pPr>
        <w:jc w:val="center"/>
      </w:pPr>
    </w:p>
    <w:p>
      <w:pPr>
        <w:pStyle w:val="2"/>
        <w:ind w:left="432" w:hanging="432"/>
      </w:pPr>
      <w:bookmarkStart w:id="90" w:name="_Toc5121"/>
      <w:r>
        <w:rPr>
          <w:rFonts w:hint="eastAsia"/>
        </w:rPr>
        <w:t>评价结论</w:t>
      </w:r>
      <w:bookmarkEnd w:id="90"/>
    </w:p>
    <w:p>
      <w:pPr>
        <w:pStyle w:val="3"/>
        <w:ind w:firstLine="420" w:firstLineChars="200"/>
      </w:pPr>
      <w:bookmarkStart w:id="91" w:name="标准名称3"/>
      <w:r>
        <w:t>《绿色建筑评价标准》GB/T 50378-2019</w:t>
      </w:r>
      <w:bookmarkEnd w:id="91"/>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pPr>
            <w:r>
              <w:t>采光总面积（</w:t>
            </w:r>
            <w:r>
              <w:rPr>
                <w:rFonts w:hint="eastAsia"/>
              </w:rPr>
              <w:t>m</w:t>
            </w:r>
            <w:r>
              <w:rPr>
                <w:vertAlign w:val="superscript"/>
              </w:rPr>
              <w:t>2</w:t>
            </w:r>
            <w:r>
              <w:t>）</w:t>
            </w:r>
          </w:p>
        </w:tc>
        <w:tc>
          <w:tcPr>
            <w:tcW w:w="2528" w:type="dxa"/>
            <w:shd w:val="clear" w:color="auto" w:fill="E6E6E6"/>
            <w:vAlign w:val="center"/>
          </w:tcPr>
          <w:p>
            <w:pPr>
              <w:jc w:val="center"/>
            </w:pPr>
            <w:bookmarkStart w:id="92" w:name="动态评价指标"/>
            <w:r>
              <w:rPr>
                <w:rFonts w:hint="eastAsia"/>
              </w:rPr>
              <w:t>达标面积比例(%)</w:t>
            </w:r>
            <w:bookmarkEnd w:id="92"/>
          </w:p>
        </w:tc>
        <w:tc>
          <w:tcPr>
            <w:tcW w:w="2126" w:type="dxa"/>
            <w:shd w:val="clear" w:color="auto" w:fill="E6E6E6"/>
            <w:vAlign w:val="center"/>
          </w:tcPr>
          <w:p>
            <w:pPr>
              <w:jc w:val="cente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1855" w:type="dxa"/>
            <w:shd w:val="clear" w:color="auto" w:fill="E6E6E6"/>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4" w:name="采光面积"/>
            <w:r>
              <w:t>1890.59</w:t>
            </w:r>
            <w:bookmarkEnd w:id="94"/>
          </w:p>
        </w:tc>
        <w:tc>
          <w:tcPr>
            <w:tcW w:w="2528" w:type="dxa"/>
            <w:vAlign w:val="center"/>
          </w:tcPr>
          <w:p>
            <w:pPr>
              <w:pStyle w:val="3"/>
              <w:jc w:val="center"/>
            </w:pPr>
            <w:bookmarkStart w:id="95" w:name="平均时数"/>
            <w:r>
              <w:t>98</w:t>
            </w:r>
            <w:bookmarkEnd w:id="95"/>
          </w:p>
        </w:tc>
        <w:tc>
          <w:tcPr>
            <w:tcW w:w="2126" w:type="dxa"/>
            <w:vAlign w:val="center"/>
          </w:tcPr>
          <w:p>
            <w:pPr>
              <w:pStyle w:val="3"/>
              <w:jc w:val="center"/>
            </w:pPr>
            <w:bookmarkStart w:id="96" w:name="动态评价指标要求"/>
            <w:r>
              <w:rPr>
                <w:rFonts w:hint="eastAsia"/>
              </w:rPr>
              <w:t>60</w:t>
            </w:r>
            <w:bookmarkEnd w:id="96"/>
          </w:p>
        </w:tc>
        <w:tc>
          <w:tcPr>
            <w:tcW w:w="1855" w:type="dxa"/>
            <w:vAlign w:val="center"/>
          </w:tcPr>
          <w:p>
            <w:pPr>
              <w:pStyle w:val="3"/>
              <w:jc w:val="center"/>
            </w:pPr>
            <w:bookmarkStart w:id="97" w:name="动态采光得分"/>
            <w:r>
              <w:rPr>
                <w:rFonts w:hint="eastAsia"/>
              </w:rPr>
              <w:t>3</w:t>
            </w:r>
            <w:bookmarkEnd w:id="97"/>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YmM5N2MxNWFlMDU3ZWYyOWY3Y2ZkNTk3ZTIzOTEifQ=="/>
    <w:docVar w:name="KSO_WPS_MARK_KEY" w:val="d472e6e0-d9ab-44a4-9a0c-78ec40c0b403"/>
  </w:docVars>
  <w:rsids>
    <w:rsidRoot w:val="57266B53"/>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5726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74\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tmp7.dotx</Template>
  <Pages>14</Pages>
  <Words>3822</Words>
  <Characters>4736</Characters>
  <Lines>33</Lines>
  <Paragraphs>9</Paragraphs>
  <TotalTime>1</TotalTime>
  <ScaleCrop>false</ScaleCrop>
  <LinksUpToDate>false</LinksUpToDate>
  <CharactersWithSpaces>6250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2024-12-03T08:50:00Z</dcterms:created>
  <dc:creator>wqy</dc:creator>
  <cp:lastModifiedBy>wqy</cp:lastModifiedBy>
  <dcterms:modified xsi:type="dcterms:W3CDTF">2024-12-03T08:51:37Z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EC44BAC78A354604813C4AB668FCD155_11</vt:lpwstr>
  </property>
  <property fmtid="{D5CDD505-2E9C-101B-9397-08002B2CF9AE}" pid="3" name="KSOProductBuildVer">
    <vt:lpwstr>2052-11.1.0.14309</vt:lpwstr>
  </property>
</Properties>
</file>