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00"/>
        <w:jc w:val="left"/>
        <w:rPr>
          <w:rFonts w:hint="eastAsia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/>
          <w:b/>
          <w:color w:val="000000"/>
          <w:kern w:val="0"/>
          <w:position w:val="10"/>
          <w:sz w:val="21"/>
          <w:szCs w:val="24"/>
          <w:lang w:val="en-US" w:eastAsia="zh-CN"/>
        </w:rPr>
        <w:t xml:space="preserve"> 外窗构造类型（外窗12）：</w:t>
      </w:r>
      <w:r>
        <w:rPr>
          <w:rFonts w:hint="eastAsia"/>
          <w:color w:val="000000"/>
          <w:kern w:val="0"/>
          <w:position w:val="10"/>
          <w:sz w:val="21"/>
          <w:szCs w:val="24"/>
          <w:lang w:val="en-US" w:eastAsia="zh-CN"/>
        </w:rPr>
        <w:t>隔热金属型材Kf=5.8W/(m2·K)框面积20%6中透光Low-E+12空气+6透明</w:t>
      </w:r>
    </w:p>
    <w:p>
      <w:pPr>
        <w:spacing w:before="100" w:after="100"/>
        <w:jc w:val="center"/>
        <w:rPr>
          <w:rFonts w:hint="eastAsia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/>
          <w:color w:val="000000"/>
          <w:kern w:val="0"/>
          <w:position w:val="10"/>
          <w:sz w:val="21"/>
          <w:szCs w:val="24"/>
          <w:lang w:val="en-US" w:eastAsia="zh-CN"/>
        </w:rPr>
        <w:t>表17 立面外窗传热系数判定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550"/>
        <w:gridCol w:w="1000"/>
        <w:gridCol w:w="2700"/>
        <w:gridCol w:w="1000"/>
        <w:gridCol w:w="1000"/>
        <w:gridCol w:w="1000"/>
        <w:gridCol w:w="1000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朝向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规格型号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外窗面积(m</w:t>
            </w:r>
            <w:r>
              <w:rPr>
                <w:rFonts w:hint="eastAsia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)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传热系数</w:t>
            </w:r>
          </w:p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立面窗墙比（包括透光幕墙）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加权传热系数</w:t>
            </w:r>
          </w:p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传热系数限值</w:t>
            </w:r>
          </w:p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[W/(m</w:t>
            </w:r>
            <w:r>
              <w:rPr>
                <w:rFonts w:hint="eastAsia"/>
                <w:color w:val="000000"/>
                <w:kern w:val="0"/>
                <w:sz w:val="21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·K)]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东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立面1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隔热金属型材Kf=5.8W/(m2·K)框面积20%6中透光Low-E+12空气+6透明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840.92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2.60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0.22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2.60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南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立面2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隔热金属型材Kf=5.8W/(m2·K)框面积20%6中透光Low-E+12空气+6透明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1068.68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2.60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0.30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2.60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西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立面3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隔热金属型材Kf=5.8W/(m2·K)框面积20%6中透光Low-E+12空气+6透明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714.00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2.60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0.19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2.60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北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立面4</w:t>
            </w: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隔热金属型材Kf=5.8W/(m2·K)框面积20%6中透光Low-E+12空气+6透明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885.52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2.60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0.26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2.60</w:t>
            </w:r>
          </w:p>
        </w:tc>
        <w:tc>
          <w:tcPr>
            <w:tcW w:w="1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标准条目</w:t>
            </w:r>
          </w:p>
        </w:tc>
        <w:tc>
          <w:tcPr>
            <w:tcW w:w="77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《建筑节能与可再生能源利用通用规范》GB 55015-2021第3.1.10条夏热冬冷地区甲类外窗的传热系数的要求。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15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结论</w:t>
            </w:r>
          </w:p>
        </w:tc>
        <w:tc>
          <w:tcPr>
            <w:tcW w:w="77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</w:tbl>
    <w:p>
      <w:pPr>
        <w:spacing w:line="360" w:lineRule="auto"/>
        <w:ind w:left="-361" w:leftChars="-172" w:right="-506" w:rightChars="-241"/>
        <w:jc w:val="center"/>
        <w:outlineLvl w:val="0"/>
        <w:rPr>
          <w:rFonts w:hint="default"/>
          <w:position w:val="10"/>
          <w:sz w:val="21"/>
          <w:szCs w:val="24"/>
          <w:lang w:val="en-US" w:eastAsia="zh-CN"/>
        </w:rPr>
      </w:pPr>
    </w:p>
    <w:p>
      <w:pPr>
        <w:spacing w:before="100" w:after="100"/>
        <w:jc w:val="left"/>
        <w:rPr>
          <w:rFonts w:hint="eastAsia"/>
          <w:b/>
          <w:color w:val="000000"/>
          <w:kern w:val="0"/>
          <w:position w:val="10"/>
          <w:sz w:val="24"/>
          <w:szCs w:val="24"/>
          <w:lang w:val="en-US" w:eastAsia="zh-CN"/>
        </w:rPr>
      </w:pPr>
      <w:r>
        <w:rPr>
          <w:rFonts w:hint="eastAsia"/>
          <w:b/>
          <w:color w:val="000000"/>
          <w:kern w:val="0"/>
          <w:position w:val="10"/>
          <w:sz w:val="24"/>
          <w:szCs w:val="24"/>
          <w:lang w:val="en-US" w:eastAsia="zh-CN"/>
        </w:rPr>
        <w:t>2.5 外窗（含透明幕墙）太阳得热系数</w:t>
      </w:r>
    </w:p>
    <w:p>
      <w:pPr>
        <w:spacing w:before="100" w:after="100"/>
        <w:jc w:val="center"/>
        <w:rPr>
          <w:rFonts w:hint="eastAsia"/>
          <w:color w:val="000000"/>
          <w:kern w:val="0"/>
          <w:position w:val="10"/>
          <w:sz w:val="21"/>
          <w:szCs w:val="24"/>
          <w:lang w:val="en-US" w:eastAsia="zh-CN"/>
        </w:rPr>
      </w:pPr>
      <w:r>
        <w:rPr>
          <w:rFonts w:hint="eastAsia"/>
          <w:color w:val="000000"/>
          <w:kern w:val="0"/>
          <w:position w:val="10"/>
          <w:sz w:val="21"/>
          <w:szCs w:val="24"/>
          <w:lang w:val="en-US" w:eastAsia="zh-CN"/>
        </w:rPr>
        <w:t>表18 太阳得热系数SHGC判断表（立面）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850"/>
        <w:gridCol w:w="1200"/>
        <w:gridCol w:w="1200"/>
        <w:gridCol w:w="1200"/>
        <w:gridCol w:w="1200"/>
        <w:gridCol w:w="1200"/>
        <w:gridCol w:w="120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朝向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玻璃太阳得热系数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窗框系数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外遮阳系数SD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立面窗墙比（包括透光幕墙）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综合太阳得热系数SHGC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D9D9D9" w:fill="D9D9D9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SHGC限值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东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立面1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0.86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0.22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0.33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≤0.40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0.86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0.88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0.82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0.87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南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立面2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0.58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0.30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0.26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≤0.40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0.78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0.67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0.65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西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立面3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0.19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0.32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≤0.45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0.78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0.70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北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立面4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0.98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0.26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0.36</w:t>
            </w:r>
          </w:p>
        </w:tc>
        <w:tc>
          <w:tcPr>
            <w:tcW w:w="12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≤0.45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1.00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0.98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0.46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0.80</w:t>
            </w:r>
          </w:p>
        </w:tc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0.96</w:t>
            </w: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标准条目</w:t>
            </w:r>
          </w:p>
        </w:tc>
        <w:tc>
          <w:tcPr>
            <w:tcW w:w="72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《建筑节能与可再生能源利用通用规范》GB 55015-2021第3.1.10条夏热冬冷地区甲类外窗太阳得热系数的要求。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0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4"/>
                <w:lang w:val="en-US" w:eastAsia="zh-CN"/>
              </w:rPr>
              <w:t>结论</w:t>
            </w:r>
          </w:p>
        </w:tc>
        <w:tc>
          <w:tcPr>
            <w:tcW w:w="720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/>
                <w:color w:val="0000FF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0000FF"/>
                <w:kern w:val="0"/>
                <w:sz w:val="21"/>
                <w:szCs w:val="24"/>
                <w:lang w:val="en-US" w:eastAsia="zh-CN"/>
              </w:rPr>
              <w:t>满足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ZmZkYWIxMjI0MWU2Njc5YmQ3ZTQxMzA0Y2U2ZGQifQ=="/>
  </w:docVars>
  <w:rsids>
    <w:rsidRoot w:val="2CAC2CE7"/>
    <w:rsid w:val="2CA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2025-02-26T06:49:00Z</dcterms:created>
  <dc:creator>ᝰꫛꫀꪝ</dc:creator>
  <cp:lastModifiedBy>ᝰꫛꫀꪝ</cp:lastModifiedBy>
  <dcterms:modified xsi:type="dcterms:W3CDTF">2025-02-26T06:51:17Z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2CA446EEB8074191915201E686503BDC_11</vt:lpwstr>
  </property>
</Properties>
</file>