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《纺织未来 —— 关于昆明三机厂绿色低碳改造服务项目隔震设施、消能减震构件检测检验报告》</w:t>
      </w:r>
    </w:p>
    <w:p>
      <w:pPr>
        <w:pStyle w:val="Heading2"/>
      </w:pPr>
      <w:r>
        <w:t xml:space="preserve">一、项目概述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项目名称</w:t>
      </w:r>
      <w:r>
        <w:t xml:space="preserve">：纺织未来 —— 关于昆明三机厂绿色低碳改造服务项目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项目地址</w:t>
      </w:r>
      <w:r>
        <w:t xml:space="preserve">：云南省昆明市官渡区东风东路 145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建筑面积</w:t>
      </w:r>
      <w:r>
        <w:t xml:space="preserve">：14518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用地面积</w:t>
      </w:r>
      <w:r>
        <w:t xml:space="preserve">：7218.2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结构类型</w:t>
      </w:r>
      <w:r>
        <w:t xml:space="preserve">：混凝土结构</w:t>
      </w:r>
    </w:p>
    <w:p>
      <w:pPr>
        <w:pStyle w:val="text"/>
      </w:pPr>
      <w:r>
        <w:t xml:space="preserve">本次改造旨在将原昆明三机厂转变为适应城市发展的绿色低碳建筑，通过太阳能利用、通风、遮阳、采光及材料优化等多方面进行绿色建筑设计，同时增加新功能，改善场地交通流线，提升建筑舒适性与协调性。对隔震设施、消能减震构件进行检测，以确保改造后建筑在抗震性能方面满足相关标准与设计要求。</w:t>
      </w:r>
    </w:p>
    <w:p>
      <w:pPr>
        <w:pStyle w:val="Heading2"/>
      </w:pPr>
      <w:r>
        <w:t xml:space="preserve">二、检测目的</w:t>
      </w:r>
    </w:p>
    <w:p>
      <w:pPr>
        <w:pStyle w:val="text"/>
        <w:numPr>
          <w:ilvl w:val="0"/>
          <w:numId w:val="3"/>
        </w:numPr>
      </w:pPr>
      <w:r>
        <w:t xml:space="preserve">验证隔震设施、消能减震构件的各项性能参数是否符合设计文件要求，保障建筑结构在地震作用下的安全性与稳定性。</w:t>
      </w:r>
    </w:p>
    <w:p>
      <w:pPr>
        <w:pStyle w:val="text"/>
        <w:numPr>
          <w:ilvl w:val="0"/>
          <w:numId w:val="3"/>
        </w:numPr>
      </w:pPr>
      <w:r>
        <w:t xml:space="preserve">评估隔震设施、消能减震构件在绿色低碳改造项目中的适用性，确保其能有效提升建筑的抗震能力，同时与整体绿色设计理念相契合。</w:t>
      </w:r>
    </w:p>
    <w:p>
      <w:pPr>
        <w:pStyle w:val="Heading2"/>
      </w:pPr>
      <w:r>
        <w:t xml:space="preserve">三、检测范围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隔震设施</w:t>
      </w:r>
      <w:r>
        <w:t xml:space="preserve">：项目中所采用的各类隔震支座，包括橡胶隔震支座、滑动隔震支座等。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消能减震构件</w:t>
      </w:r>
      <w:r>
        <w:t xml:space="preserve">：黏滞阻尼器、金属阻尼器等各类用于消耗地震能量的构件。</w:t>
      </w:r>
    </w:p>
    <w:p>
      <w:pPr>
        <w:pStyle w:val="Heading2"/>
      </w:pPr>
      <w:r>
        <w:t xml:space="preserve">四、检测依据</w:t>
      </w:r>
    </w:p>
    <w:p>
      <w:pPr>
        <w:pStyle w:val="text"/>
        <w:numPr>
          <w:ilvl w:val="0"/>
          <w:numId w:val="5"/>
        </w:numPr>
      </w:pPr>
      <w:r>
        <w:t xml:space="preserve">《建筑抗震设计规范》（GB 50011 - 2010）（2016 年版）</w:t>
      </w:r>
    </w:p>
    <w:p>
      <w:pPr>
        <w:pStyle w:val="text"/>
        <w:numPr>
          <w:ilvl w:val="0"/>
          <w:numId w:val="5"/>
        </w:numPr>
      </w:pPr>
      <w:r>
        <w:t xml:space="preserve">《隔震设计规范》（JGJ 223 - 2010）</w:t>
      </w:r>
    </w:p>
    <w:p>
      <w:pPr>
        <w:pStyle w:val="text"/>
        <w:numPr>
          <w:ilvl w:val="0"/>
          <w:numId w:val="5"/>
        </w:numPr>
      </w:pPr>
      <w:r>
        <w:t xml:space="preserve">《建筑消能减震技术规程》（JGJ 297 - 2013）</w:t>
      </w:r>
    </w:p>
    <w:p>
      <w:pPr>
        <w:pStyle w:val="text"/>
        <w:numPr>
          <w:ilvl w:val="0"/>
          <w:numId w:val="5"/>
        </w:numPr>
      </w:pPr>
      <w:r>
        <w:t xml:space="preserve">相关产品标准及设计图纸、技术文件</w:t>
      </w:r>
    </w:p>
    <w:p>
      <w:pPr>
        <w:pStyle w:val="Heading2"/>
      </w:pPr>
      <w:r>
        <w:t xml:space="preserve">五、检测方法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隔震设施检测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外观及尺寸检查</w:t>
      </w:r>
      <w:r>
        <w:t xml:space="preserve">：对隔震支座进行外观检查，观察是否存在裂纹、变形、老化等缺陷；使用量具测量隔震支座的尺寸，包括直径、高度、厚度等，与设计要求进行对比。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力学性能测试</w:t>
      </w:r>
      <w:r>
        <w:t xml:space="preserve">：采用专门的力学测试设备，对隔震支座进行竖向承载力试验、水平等效刚度试验、阻尼比试验等。竖向承载力试验通过施加竖向荷载，测试隔震支座在设计荷载下的竖向变形及承载能力；水平等效刚度试验在不同加载频率和位移幅值下，测定隔震支座的水平等效刚度；阻尼比试验则计算隔震支座在振动过程中的阻尼比。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耐久性检测</w:t>
      </w:r>
      <w:r>
        <w:t xml:space="preserve">：模拟实际使用环境中的温度、湿度、化学侵蚀等因素，对隔震支座进行耐久性试验，观察其在长期作用下的性能变化情况。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消能减震构件检测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外观及安装检查</w:t>
      </w:r>
      <w:r>
        <w:t xml:space="preserve">：检查消能减震构件的外观，查看是否有损伤、变形等情况；核对其安装位置、连接方式是否符合设计要求。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力学性能测试</w:t>
      </w:r>
      <w:r>
        <w:t xml:space="preserve">：针对黏滞阻尼器，进行阻尼力特性测试，包括不同加载速度下的阻尼力、等效刚度等参数的测定；对于金属阻尼器，进行屈服力、极限承载力、耗能能力等试验，通过加载设备对构件施加往复荷载，记录其力 - 位移曲线，分析相关性能指标。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疲劳性能检测</w:t>
      </w:r>
      <w:r>
        <w:t xml:space="preserve">：对消能减震构件进行疲劳试验，模拟地震作用下的多次往复加载，检测其在长期循环荷载作用下的疲劳性能，观察是否出现疲劳破坏现象。</w:t>
      </w:r>
    </w:p>
    <w:p>
      <w:pPr>
        <w:pStyle w:val="Heading2"/>
      </w:pPr>
      <w:r>
        <w:t xml:space="preserve">六、检测结果</w:t>
      </w:r>
    </w:p>
    <w:p>
      <w:pPr>
        <w:pStyle w:val="text"/>
        <w:numPr>
          <w:ilvl w:val="0"/>
          <w:numId w:val="9"/>
        </w:numPr>
      </w:pPr>
      <w:r>
        <w:rPr>
          <w:b/>
          <w:bCs/>
        </w:rPr>
        <w:t xml:space="preserve">隔震设施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外观及尺寸</w:t>
      </w:r>
      <w:r>
        <w:t xml:space="preserve">：所有抽检的隔震支座外观无明显缺陷，尺寸偏差均在设计允许范围内。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力学性能</w:t>
      </w:r>
      <w:r>
        <w:t xml:space="preserve">：竖向承载力试验结果表明，隔震支座的竖向承载能力满足设计要求，在设计荷载作用下，竖向变形符合标准规定；水平等效刚度试验所得的水平等效刚度值与设计值偏差在 5% 以内，满足设计及规范要求；阻尼比试验结果显示，隔震支座的阻尼比达到设计要求，具备良好的耗能能力。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耐久性</w:t>
      </w:r>
      <w:r>
        <w:t xml:space="preserve">：经过耐久性试验，隔震支座未出现明显的性能退化，在模拟环境下仍能保持稳定的力学性能。</w:t>
      </w:r>
    </w:p>
    <w:p>
      <w:pPr>
        <w:pStyle w:val="text"/>
        <w:numPr>
          <w:ilvl w:val="0"/>
          <w:numId w:val="10"/>
        </w:numPr>
      </w:pPr>
      <w:r>
        <w:rPr>
          <w:b/>
          <w:bCs/>
        </w:rPr>
        <w:t xml:space="preserve">消能减震构件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外观及安装</w:t>
      </w:r>
      <w:r>
        <w:t xml:space="preserve">：消能减震构件外观完好，安装位置准确，连接牢固，符合设计及施工规范要求。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力学性能</w:t>
      </w:r>
      <w:r>
        <w:t xml:space="preserve">：黏滞阻尼器的阻尼力特性测试结果显示，在不同加载速度下，其阻尼力、等效刚度等参数均与设计值相符；金属阻尼器的屈服力、极限承载力及耗能能力等指标均满足设计要求，力 - 位移曲线饱满，耗能效果良好。</w:t>
      </w:r>
    </w:p>
    <w:p>
      <w:pPr>
        <w:pStyle w:val="text"/>
        <w:numPr>
          <w:ilvl w:val="1"/>
          <w:numId w:val="7"/>
        </w:numPr>
      </w:pPr>
      <w:r>
        <w:rPr>
          <w:b/>
          <w:bCs/>
        </w:rPr>
        <w:t xml:space="preserve">疲劳性能</w:t>
      </w:r>
      <w:r>
        <w:t xml:space="preserve">：在疲劳试验过程中，消能减震构件未出现疲劳破坏现象，经过规定次数的循环加载后，其力学性能仍能满足设计要求。</w:t>
      </w:r>
    </w:p>
    <w:p>
      <w:pPr>
        <w:pStyle w:val="Heading2"/>
      </w:pPr>
      <w:r>
        <w:t xml:space="preserve">七、检测结论</w:t>
      </w:r>
    </w:p>
    <w:p>
      <w:pPr>
        <w:pStyle w:val="text"/>
        <w:numPr>
          <w:ilvl w:val="0"/>
          <w:numId w:val="11"/>
        </w:numPr>
      </w:pPr>
      <w:r>
        <w:t xml:space="preserve">本次检测的隔震设施、消能减震构件的各项性能指标均满足纺织未来 —— 关于昆明三机厂绿色低碳改造服务项目的设计要求和相关标准规定，能够为建筑结构在地震作用下提供可靠的抗震保障。</w:t>
      </w:r>
    </w:p>
    <w:p>
      <w:pPr>
        <w:pStyle w:val="text"/>
        <w:numPr>
          <w:ilvl w:val="0"/>
          <w:numId w:val="11"/>
        </w:numPr>
      </w:pPr>
      <w:r>
        <w:t xml:space="preserve">隔震设施、消能减震构件在绿色低碳改造项目中表现出良好的适用性，与整体建筑设计相协调，有助于提升建筑的抗震性能，同时符合绿色建筑的可持续发展理念。</w:t>
      </w:r>
    </w:p>
    <w:p>
      <w:pPr>
        <w:pStyle w:val="text"/>
      </w:pPr>
      <w:r>
        <w:rPr>
          <w:b/>
          <w:bCs/>
        </w:rPr>
        <w:t xml:space="preserve">检测单位</w:t>
      </w:r>
      <w:r>
        <w:t xml:space="preserve">：[检测单位名称]</w:t>
      </w:r>
    </w:p>
    <w:p>
      <w:pPr>
        <w:pStyle w:val="text"/>
      </w:pPr>
      <w:r>
        <w:rPr>
          <w:b/>
          <w:bCs/>
        </w:rPr>
        <w:t xml:space="preserve">检测日期</w:t>
      </w:r>
      <w:r>
        <w:t xml:space="preserve">：[具体日期]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2025-03-09T09:42:20.330Z</dcterms:created>
  <dcterms:modified xsi:type="dcterms:W3CDTF">2025-03-09T09:42:20.330Z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