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2" w:name="_GoBack"/>
      <w:bookmarkEnd w:id="82"/>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柿染馆设计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2024年12月23日</w:t>
            </w:r>
            <w:bookmarkEnd w:id="6"/>
          </w:p>
        </w:tc>
      </w:tr>
    </w:tbl>
    <w:p>
      <w:pPr>
        <w:pStyle w:val="3"/>
        <w:rPr>
          <w:b/>
          <w:bCs/>
          <w:sz w:val="30"/>
          <w:szCs w:val="32"/>
        </w:rPr>
      </w:pPr>
    </w:p>
    <w:p>
      <w:pPr>
        <w:pStyle w:val="3"/>
        <w:jc w:val="center"/>
        <w:rPr>
          <w:b/>
          <w:bCs/>
          <w:sz w:val="30"/>
          <w:szCs w:val="32"/>
        </w:rPr>
      </w:pPr>
      <w:bookmarkStart w:id="7" w:name="二维码"/>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T15905997298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_Toc28361 </w:instrText>
          </w:r>
          <w:r>
            <w:fldChar w:fldCharType="separate"/>
          </w:r>
          <w:r>
            <w:rPr>
              <w:rFonts w:hint="eastAsia"/>
            </w:rPr>
            <w:t>1. 建筑概况</w:t>
          </w:r>
          <w:r>
            <w:tab/>
          </w:r>
          <w:r>
            <w:fldChar w:fldCharType="begin"/>
          </w:r>
          <w:r>
            <w:instrText xml:space="preserve"> PAGEREF _Toc28361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_Toc8501 </w:instrText>
          </w:r>
          <w:r>
            <w:rPr>
              <w:bCs/>
              <w:lang w:val="zh-CN"/>
            </w:rPr>
            <w:fldChar w:fldCharType="separate"/>
          </w:r>
          <w:r>
            <w:rPr>
              <w:rFonts w:hint="eastAsia"/>
            </w:rPr>
            <w:t>2. 设计依据</w:t>
          </w:r>
          <w:r>
            <w:tab/>
          </w:r>
          <w:r>
            <w:fldChar w:fldCharType="begin"/>
          </w:r>
          <w:r>
            <w:instrText xml:space="preserve"> PAGEREF _Toc8501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_Toc21577 </w:instrText>
          </w:r>
          <w:r>
            <w:rPr>
              <w:bCs/>
              <w:lang w:val="zh-CN"/>
            </w:rPr>
            <w:fldChar w:fldCharType="separate"/>
          </w:r>
          <w:r>
            <w:rPr>
              <w:rFonts w:hint="eastAsia"/>
            </w:rPr>
            <w:t>3. 标准要求</w:t>
          </w:r>
          <w:r>
            <w:tab/>
          </w:r>
          <w:r>
            <w:fldChar w:fldCharType="begin"/>
          </w:r>
          <w:r>
            <w:instrText xml:space="preserve"> PAGEREF _Toc21577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_Toc32755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_Toc32755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_Toc625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_Toc625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_Toc11769 </w:instrText>
          </w:r>
          <w:r>
            <w:rPr>
              <w:bCs/>
              <w:lang w:val="zh-CN"/>
            </w:rPr>
            <w:fldChar w:fldCharType="separate"/>
          </w:r>
          <w:r>
            <w:rPr>
              <w:rFonts w:hint="eastAsia"/>
              <w:lang w:val="en-GB"/>
            </w:rPr>
            <w:t xml:space="preserve">4.2 </w:t>
          </w:r>
          <w:r>
            <w:t>分析软件</w:t>
          </w:r>
          <w:r>
            <w:tab/>
          </w:r>
          <w:r>
            <w:fldChar w:fldCharType="begin"/>
          </w:r>
          <w:r>
            <w:instrText xml:space="preserve"> PAGEREF _Toc11769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_Toc2058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_Toc2058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_Toc17096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_Toc17096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_Toc23281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_Toc23281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_Toc4027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_Toc4027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_Toc13880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_Toc13880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_Toc32292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_Toc32292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_Toc5736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_Toc5736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_Toc22260 </w:instrText>
          </w:r>
          <w:r>
            <w:rPr>
              <w:bCs/>
              <w:lang w:val="zh-CN"/>
            </w:rPr>
            <w:fldChar w:fldCharType="separate"/>
          </w:r>
          <w:r>
            <w:rPr>
              <w:rFonts w:hint="eastAsia"/>
            </w:rPr>
            <w:t>6. 房间模拟</w:t>
          </w:r>
          <w:r>
            <w:t>结果</w:t>
          </w:r>
          <w:r>
            <w:tab/>
          </w:r>
          <w:r>
            <w:fldChar w:fldCharType="begin"/>
          </w:r>
          <w:r>
            <w:instrText xml:space="preserve"> PAGEREF _Toc22260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_Toc11508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_Toc11508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_Toc2296 </w:instrText>
          </w:r>
          <w:r>
            <w:rPr>
              <w:bCs/>
              <w:lang w:val="zh-CN"/>
            </w:rPr>
            <w:fldChar w:fldCharType="separate"/>
          </w:r>
          <w:r>
            <w:rPr>
              <w:rFonts w:hint="eastAsia"/>
            </w:rPr>
            <w:t>8. 结论</w:t>
          </w:r>
          <w:r>
            <w:tab/>
          </w:r>
          <w:r>
            <w:fldChar w:fldCharType="begin"/>
          </w:r>
          <w:r>
            <w:instrText xml:space="preserve"> PAGEREF _Toc2296 </w:instrText>
          </w:r>
          <w:r>
            <w:fldChar w:fldCharType="separate"/>
          </w:r>
          <w:r>
            <w:t>10</w:t>
          </w:r>
          <w:r>
            <w:fldChar w:fldCharType="end"/>
          </w:r>
          <w:r>
            <w:rPr>
              <w:bCs/>
              <w:lang w:val="zh-CN"/>
            </w:rPr>
            <w:fldChar w:fldCharType="end"/>
          </w:r>
        </w:p>
        <w:p>
          <w:r>
            <w:rPr>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2836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福州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1200.77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1</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5.50</w:t>
            </w:r>
            <w:bookmarkEnd w:id="21"/>
            <w:r>
              <w:rPr>
                <w:rFonts w:hint="eastAsia"/>
                <w:sz w:val="18"/>
                <w:szCs w:val="18"/>
                <w:lang w:val="en-US"/>
              </w:rPr>
              <w:t xml:space="preserve"> m     地下  </w:t>
            </w:r>
            <w:bookmarkStart w:id="22" w:name="地下建筑高度"/>
            <w:r>
              <w:t>0.20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8501"/>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21577"/>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展览建筑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ind w:firstLine="171" w:firstLineChars="95"/>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jc w:val="center"/>
              <w:rPr>
                <w:szCs w:val="18"/>
              </w:rPr>
            </w:pPr>
            <w:r>
              <w:rPr>
                <w:rFonts w:hint="eastAsia"/>
                <w:szCs w:val="18"/>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采光系数</w:t>
            </w:r>
          </w:p>
          <w:p>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jc w:val="center"/>
              <w:rPr>
                <w:szCs w:val="18"/>
              </w:rPr>
            </w:pPr>
            <w:r>
              <w:rPr>
                <w:rFonts w:hint="eastAsia"/>
                <w:szCs w:val="18"/>
              </w:rPr>
              <w:t>75</w:t>
            </w:r>
          </w:p>
        </w:tc>
      </w:tr>
      <w:bookmarkEnd w:id="7"/>
    </w:tbl>
    <w:p>
      <w:pPr>
        <w:pStyle w:val="2"/>
        <w:ind w:left="432" w:hanging="432"/>
        <w:rPr>
          <w:rFonts w:ascii="微软雅黑" w:hAnsi="微软雅黑"/>
        </w:rPr>
      </w:pPr>
      <w:bookmarkStart w:id="28" w:name="_Toc264043625"/>
      <w:bookmarkStart w:id="29" w:name="_Toc264569232"/>
      <w:bookmarkStart w:id="30" w:name="_Toc290209312"/>
      <w:bookmarkStart w:id="31" w:name="_Toc290149054"/>
      <w:bookmarkStart w:id="32" w:name="_Toc312399791"/>
      <w:bookmarkStart w:id="33" w:name="_Toc290209336"/>
      <w:bookmarkStart w:id="34" w:name="_Toc275165382"/>
      <w:bookmarkStart w:id="35" w:name="_Toc32755"/>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625"/>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90209341"/>
      <w:bookmarkStart w:id="38" w:name="_Toc264569237"/>
      <w:bookmarkStart w:id="39" w:name="_Toc264043630"/>
      <w:bookmarkStart w:id="40" w:name="_Toc275165387"/>
      <w:bookmarkStart w:id="41" w:name="_Toc312399796"/>
      <w:bookmarkStart w:id="42" w:name="_Toc290209317"/>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11769"/>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2058"/>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7096"/>
      <w:r>
        <w:rPr>
          <w:rFonts w:hint="eastAsia"/>
        </w:rPr>
        <w:t>采光计算</w:t>
      </w:r>
      <w:r>
        <w:t>参数</w:t>
      </w:r>
      <w:r>
        <w:rPr>
          <w:rFonts w:hint="eastAsia"/>
        </w:rPr>
        <w:t>取值</w:t>
      </w:r>
      <w:bookmarkEnd w:id="47"/>
    </w:p>
    <w:p>
      <w:pPr>
        <w:pStyle w:val="4"/>
      </w:pPr>
      <w:bookmarkStart w:id="48" w:name="_Toc290149058"/>
      <w:bookmarkStart w:id="49" w:name="_Toc275165386"/>
      <w:bookmarkStart w:id="50" w:name="_Toc312399795"/>
      <w:bookmarkStart w:id="51" w:name="_Toc290209316"/>
      <w:bookmarkStart w:id="52" w:name="_Toc290209340"/>
      <w:bookmarkStart w:id="53" w:name="_Toc264043629"/>
      <w:bookmarkStart w:id="54" w:name="_Toc264569236"/>
      <w:bookmarkStart w:id="55" w:name="_Toc23281"/>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4027"/>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0.30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3880"/>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32292"/>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C0915</w:t>
            </w:r>
          </w:p>
        </w:tc>
        <w:tc>
          <w:tcPr>
            <w:vAlign w:val="center"/>
          </w:tcPr>
          <w:p>
            <w:pPr>
              <w:jc w:val="center"/>
              <w:rPr>
                <w:sz w:val="18"/>
                <w:szCs w:val="18"/>
              </w:rPr>
            </w:pPr>
            <w:r>
              <w:rPr>
                <w:sz w:val="18"/>
                <w:szCs w:val="18"/>
              </w:rPr>
              <w:t>900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C1215</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C1815</w:t>
            </w:r>
          </w:p>
        </w:tc>
        <w:tc>
          <w:tcPr>
            <w:vAlign w:val="center"/>
          </w:tcPr>
          <w:p>
            <w:pPr>
              <w:jc w:val="center"/>
              <w:rPr>
                <w:sz w:val="18"/>
                <w:szCs w:val="18"/>
              </w:rPr>
            </w:pPr>
            <w:r>
              <w:rPr>
                <w:sz w:val="18"/>
                <w:szCs w:val="18"/>
              </w:rPr>
              <w:t>1543</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C2115</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C2415</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C2712</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C2715</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C3015</w:t>
            </w:r>
          </w:p>
        </w:tc>
        <w:tc>
          <w:tcPr>
            <w:vAlign w:val="center"/>
          </w:tcPr>
          <w:p>
            <w:pPr>
              <w:jc w:val="center"/>
              <w:rPr>
                <w:sz w:val="18"/>
                <w:szCs w:val="18"/>
              </w:rPr>
            </w:pPr>
            <w:r>
              <w:rPr>
                <w:sz w:val="18"/>
                <w:szCs w:val="18"/>
              </w:rPr>
              <w:t>3118</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C3615</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DK0127</w:t>
            </w:r>
          </w:p>
        </w:tc>
        <w:tc>
          <w:tcPr>
            <w:vAlign w:val="center"/>
          </w:tcPr>
          <w:p>
            <w:pPr>
              <w:jc w:val="center"/>
              <w:rPr>
                <w:sz w:val="18"/>
                <w:szCs w:val="18"/>
              </w:rPr>
            </w:pPr>
            <w:r>
              <w:rPr>
                <w:sz w:val="18"/>
                <w:szCs w:val="18"/>
              </w:rPr>
              <w:t>100</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DK3618</w:t>
            </w:r>
          </w:p>
        </w:tc>
        <w:tc>
          <w:tcPr>
            <w:vAlign w:val="center"/>
          </w:tcPr>
          <w:p>
            <w:pPr>
              <w:jc w:val="center"/>
              <w:rPr>
                <w:sz w:val="18"/>
                <w:szCs w:val="18"/>
              </w:rPr>
            </w:pPr>
            <w:r>
              <w:rPr>
                <w:sz w:val="18"/>
                <w:szCs w:val="18"/>
              </w:rPr>
              <w:t>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5736"/>
      <w:bookmarkStart w:id="73" w:name="幕墙"/>
      <w:r>
        <w:rPr>
          <w:rFonts w:hint="eastAsia"/>
        </w:rPr>
        <w:t>玻璃幕墙</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4876</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22260"/>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w:t>
            </w:r>
          </w:p>
        </w:tc>
        <w:tc>
          <w:tcPr>
            <w:vAlign w:val="center"/>
          </w:tcPr>
          <w:p>
            <w:pPr>
              <w:rPr>
                <w:sz w:val="18"/>
                <w:szCs w:val="18"/>
              </w:rPr>
            </w:pPr>
            <w:r>
              <w:rPr>
                <w:sz w:val="18"/>
                <w:szCs w:val="18"/>
              </w:rPr>
              <w:t>1001[展览馆]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159.28</w:t>
            </w:r>
          </w:p>
        </w:tc>
        <w:tc>
          <w:tcPr>
            <w:vAlign w:val="center"/>
          </w:tcPr>
          <w:p>
            <w:pPr>
              <w:rPr>
                <w:sz w:val="18"/>
                <w:szCs w:val="18"/>
              </w:rPr>
            </w:pPr>
            <w:r>
              <w:rPr>
                <w:sz w:val="18"/>
                <w:szCs w:val="18"/>
              </w:rPr>
              <w:t>3.35</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1002[大厅]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147.15</w:t>
            </w:r>
          </w:p>
        </w:tc>
        <w:tc>
          <w:tcPr>
            <w:vAlign w:val="center"/>
          </w:tcPr>
          <w:p>
            <w:pPr>
              <w:rPr>
                <w:sz w:val="18"/>
                <w:szCs w:val="18"/>
              </w:rPr>
            </w:pPr>
            <w:r>
              <w:rPr>
                <w:sz w:val="18"/>
                <w:szCs w:val="18"/>
              </w:rPr>
              <w:t>3.18</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1005[楼梯间]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36.74</w:t>
            </w:r>
          </w:p>
        </w:tc>
        <w:tc>
          <w:tcPr>
            <w:vAlign w:val="center"/>
          </w:tcPr>
          <w:p>
            <w:pPr>
              <w:rPr>
                <w:sz w:val="18"/>
                <w:szCs w:val="18"/>
              </w:rPr>
            </w:pPr>
            <w:r>
              <w:rPr>
                <w:sz w:val="18"/>
                <w:szCs w:val="18"/>
              </w:rPr>
              <w:t>0.00</w:t>
            </w:r>
          </w:p>
        </w:tc>
        <w:tc>
          <w:tcPr>
            <w:vAlign w:val="center"/>
          </w:tcPr>
          <w:p>
            <w:pPr>
              <w:rPr>
                <w:sz w:val="18"/>
                <w:szCs w:val="18"/>
              </w:rPr>
            </w:pPr>
            <w:r>
              <w:rPr>
                <w:sz w:val="18"/>
                <w:szCs w:val="18"/>
              </w:rPr>
              <w:t>1.00</w:t>
            </w:r>
          </w:p>
        </w:tc>
        <w:tc>
          <w:tcPr>
            <w:vAlign w:val="center"/>
          </w:tcPr>
          <w:p>
            <w:pPr>
              <w:rPr>
                <w:sz w:val="18"/>
                <w:szCs w:val="18"/>
              </w:rPr>
            </w:pPr>
            <w:r>
              <w:rPr>
                <w:color w:val="FF00FF"/>
                <w:sz w:val="18"/>
                <w:szCs w:val="18"/>
              </w:rPr>
              <w:t>未计算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1006[展览馆]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29.45</w:t>
            </w:r>
          </w:p>
        </w:tc>
        <w:tc>
          <w:tcPr>
            <w:vAlign w:val="center"/>
          </w:tcPr>
          <w:p>
            <w:pPr>
              <w:rPr>
                <w:sz w:val="18"/>
                <w:szCs w:val="18"/>
              </w:rPr>
            </w:pPr>
            <w:r>
              <w:rPr>
                <w:sz w:val="18"/>
                <w:szCs w:val="18"/>
              </w:rPr>
              <w:t>4.58</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1007[展览馆]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24.25</w:t>
            </w:r>
          </w:p>
        </w:tc>
        <w:tc>
          <w:tcPr>
            <w:vAlign w:val="center"/>
          </w:tcPr>
          <w:p>
            <w:pPr>
              <w:rPr>
                <w:sz w:val="18"/>
                <w:szCs w:val="18"/>
              </w:rPr>
            </w:pPr>
            <w:r>
              <w:rPr>
                <w:sz w:val="18"/>
                <w:szCs w:val="18"/>
              </w:rPr>
              <w:t>3.62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1008[库房]</w:t>
            </w:r>
          </w:p>
        </w:tc>
        <w:tc>
          <w:tcPr>
            <w:vAlign w:val="center"/>
          </w:tcPr>
          <w:p>
            <w:pPr>
              <w:rPr>
                <w:sz w:val="18"/>
                <w:szCs w:val="18"/>
              </w:rPr>
            </w:pPr>
            <w:r>
              <w:rPr>
                <w:sz w:val="18"/>
                <w:szCs w:val="18"/>
              </w:rPr>
              <w:t>库房</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23.05</w:t>
            </w:r>
          </w:p>
        </w:tc>
        <w:tc>
          <w:tcPr>
            <w:vAlign w:val="center"/>
          </w:tcPr>
          <w:p>
            <w:pPr>
              <w:rPr>
                <w:sz w:val="18"/>
                <w:szCs w:val="18"/>
              </w:rPr>
            </w:pPr>
            <w:r>
              <w:rPr>
                <w:sz w:val="18"/>
                <w:szCs w:val="18"/>
              </w:rPr>
              <w:t>6.88</w:t>
            </w:r>
          </w:p>
        </w:tc>
        <w:tc>
          <w:tcPr>
            <w:vAlign w:val="center"/>
          </w:tcPr>
          <w:p>
            <w:pPr>
              <w:rPr>
                <w:sz w:val="18"/>
                <w:szCs w:val="18"/>
              </w:rPr>
            </w:pPr>
            <w:r>
              <w:rPr>
                <w:sz w:val="18"/>
                <w:szCs w:val="18"/>
              </w:rPr>
              <w:t>1.00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1009[卫生间]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19.19</w:t>
            </w:r>
          </w:p>
        </w:tc>
        <w:tc>
          <w:tcPr>
            <w:vAlign w:val="center"/>
          </w:tcPr>
          <w:p>
            <w:pPr>
              <w:rPr>
                <w:sz w:val="18"/>
                <w:szCs w:val="18"/>
              </w:rPr>
            </w:pPr>
            <w:r>
              <w:rPr>
                <w:sz w:val="18"/>
                <w:szCs w:val="18"/>
              </w:rPr>
              <w:t>0.00</w:t>
            </w:r>
          </w:p>
        </w:tc>
        <w:tc>
          <w:tcPr>
            <w:vAlign w:val="center"/>
          </w:tcPr>
          <w:p>
            <w:pPr>
              <w:rPr>
                <w:sz w:val="18"/>
                <w:szCs w:val="18"/>
              </w:rPr>
            </w:pPr>
            <w:r>
              <w:rPr>
                <w:sz w:val="18"/>
                <w:szCs w:val="18"/>
              </w:rPr>
              <w:t>1.00</w:t>
            </w:r>
          </w:p>
        </w:tc>
        <w:tc>
          <w:tcPr>
            <w:vAlign w:val="center"/>
          </w:tcPr>
          <w:p>
            <w:pPr>
              <w:rPr>
                <w:sz w:val="18"/>
                <w:szCs w:val="18"/>
              </w:rPr>
            </w:pPr>
            <w:r>
              <w:rPr>
                <w:color w:val="FF00FF"/>
                <w:sz w:val="18"/>
                <w:szCs w:val="18"/>
              </w:rPr>
              <w:t>未计算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1010[卫生间]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17.43</w:t>
            </w:r>
          </w:p>
        </w:tc>
        <w:tc>
          <w:tcPr>
            <w:vAlign w:val="center"/>
          </w:tcPr>
          <w:p>
            <w:pPr>
              <w:rPr>
                <w:sz w:val="18"/>
                <w:szCs w:val="18"/>
              </w:rPr>
            </w:pPr>
            <w:r>
              <w:rPr>
                <w:sz w:val="18"/>
                <w:szCs w:val="18"/>
              </w:rPr>
              <w:t>0.00</w:t>
            </w:r>
          </w:p>
        </w:tc>
        <w:tc>
          <w:tcPr>
            <w:vAlign w:val="center"/>
          </w:tcPr>
          <w:p>
            <w:pPr>
              <w:rPr>
                <w:sz w:val="18"/>
                <w:szCs w:val="18"/>
              </w:rPr>
            </w:pPr>
            <w:r>
              <w:rPr>
                <w:sz w:val="18"/>
                <w:szCs w:val="18"/>
              </w:rPr>
              <w:t>1.00</w:t>
            </w:r>
          </w:p>
        </w:tc>
        <w:tc>
          <w:tcPr>
            <w:vAlign w:val="center"/>
          </w:tcPr>
          <w:p>
            <w:pPr>
              <w:rPr>
                <w:sz w:val="18"/>
                <w:szCs w:val="18"/>
              </w:rPr>
            </w:pPr>
            <w:r>
              <w:rPr>
                <w:color w:val="FF00FF"/>
                <w:sz w:val="18"/>
                <w:szCs w:val="18"/>
              </w:rPr>
              <w:t>未计算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1011[楼梯间]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17.16</w:t>
            </w:r>
          </w:p>
        </w:tc>
        <w:tc>
          <w:tcPr>
            <w:vAlign w:val="center"/>
          </w:tcPr>
          <w:p>
            <w:pPr>
              <w:rPr>
                <w:sz w:val="18"/>
                <w:szCs w:val="18"/>
              </w:rPr>
            </w:pPr>
            <w:r>
              <w:rPr>
                <w:sz w:val="18"/>
                <w:szCs w:val="18"/>
              </w:rPr>
              <w:t>0.00</w:t>
            </w:r>
          </w:p>
        </w:tc>
        <w:tc>
          <w:tcPr>
            <w:vAlign w:val="center"/>
          </w:tcPr>
          <w:p>
            <w:pPr>
              <w:rPr>
                <w:sz w:val="18"/>
                <w:szCs w:val="18"/>
              </w:rPr>
            </w:pPr>
            <w:r>
              <w:rPr>
                <w:sz w:val="18"/>
                <w:szCs w:val="18"/>
              </w:rPr>
              <w:t>1.00</w:t>
            </w:r>
          </w:p>
        </w:tc>
        <w:tc>
          <w:tcPr>
            <w:vAlign w:val="center"/>
          </w:tcPr>
          <w:p>
            <w:pPr>
              <w:rPr>
                <w:sz w:val="18"/>
                <w:szCs w:val="18"/>
              </w:rPr>
            </w:pPr>
            <w:r>
              <w:rPr>
                <w:color w:val="FF00FF"/>
                <w:sz w:val="18"/>
                <w:szCs w:val="18"/>
              </w:rPr>
              <w:t>未计算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w:t>
            </w:r>
          </w:p>
        </w:tc>
        <w:tc>
          <w:tcPr>
            <w:vAlign w:val="center"/>
          </w:tcPr>
          <w:p>
            <w:pPr>
              <w:rPr>
                <w:sz w:val="18"/>
                <w:szCs w:val="18"/>
              </w:rPr>
            </w:pPr>
            <w:r>
              <w:rPr>
                <w:sz w:val="18"/>
                <w:szCs w:val="18"/>
              </w:rPr>
              <w:t>2001[楼梯间]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148.76</w:t>
            </w:r>
          </w:p>
        </w:tc>
        <w:tc>
          <w:tcPr>
            <w:vAlign w:val="center"/>
          </w:tcPr>
          <w:p>
            <w:pPr>
              <w:rPr>
                <w:sz w:val="18"/>
                <w:szCs w:val="18"/>
              </w:rPr>
            </w:pPr>
            <w:r>
              <w:rPr>
                <w:sz w:val="18"/>
                <w:szCs w:val="18"/>
              </w:rPr>
              <w:t>0.00</w:t>
            </w:r>
          </w:p>
        </w:tc>
        <w:tc>
          <w:tcPr>
            <w:vAlign w:val="center"/>
          </w:tcPr>
          <w:p>
            <w:pPr>
              <w:rPr>
                <w:sz w:val="18"/>
                <w:szCs w:val="18"/>
              </w:rPr>
            </w:pPr>
            <w:r>
              <w:rPr>
                <w:sz w:val="18"/>
                <w:szCs w:val="18"/>
              </w:rPr>
              <w:t>1.00</w:t>
            </w:r>
          </w:p>
        </w:tc>
        <w:tc>
          <w:tcPr>
            <w:vAlign w:val="center"/>
          </w:tcPr>
          <w:p>
            <w:pPr>
              <w:rPr>
                <w:sz w:val="18"/>
                <w:szCs w:val="18"/>
              </w:rPr>
            </w:pPr>
            <w:r>
              <w:rPr>
                <w:color w:val="FF00FF"/>
                <w:sz w:val="18"/>
                <w:szCs w:val="18"/>
              </w:rPr>
              <w:t>未计算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2002[展览馆]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91.22</w:t>
            </w:r>
          </w:p>
        </w:tc>
        <w:tc>
          <w:tcPr>
            <w:vAlign w:val="center"/>
          </w:tcPr>
          <w:p>
            <w:pPr>
              <w:rPr>
                <w:sz w:val="18"/>
                <w:szCs w:val="18"/>
              </w:rPr>
            </w:pPr>
            <w:r>
              <w:rPr>
                <w:sz w:val="18"/>
                <w:szCs w:val="18"/>
              </w:rPr>
              <w:t>3.72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2003[展览馆]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82.74</w:t>
            </w:r>
          </w:p>
        </w:tc>
        <w:tc>
          <w:tcPr>
            <w:vAlign w:val="center"/>
          </w:tcPr>
          <w:p>
            <w:pPr>
              <w:rPr>
                <w:sz w:val="18"/>
                <w:szCs w:val="18"/>
              </w:rPr>
            </w:pPr>
            <w:r>
              <w:rPr>
                <w:sz w:val="18"/>
                <w:szCs w:val="18"/>
              </w:rPr>
              <w:t>5.47</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2006[大厅]</w:t>
            </w:r>
          </w:p>
        </w:tc>
        <w:tc>
          <w:tcPr>
            <w:vAlign w:val="center"/>
          </w:tcPr>
          <w:p>
            <w:pPr>
              <w:rPr>
                <w:sz w:val="18"/>
                <w:szCs w:val="18"/>
              </w:rPr>
            </w:pPr>
            <w:r>
              <w:rPr>
                <w:sz w:val="18"/>
                <w:szCs w:val="18"/>
              </w:rPr>
              <w:t>登录厅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54.53</w:t>
            </w:r>
          </w:p>
        </w:tc>
        <w:tc>
          <w:tcPr>
            <w:vAlign w:val="center"/>
          </w:tcPr>
          <w:p>
            <w:pPr>
              <w:rPr>
                <w:sz w:val="18"/>
                <w:szCs w:val="18"/>
              </w:rPr>
            </w:pPr>
            <w:r>
              <w:rPr>
                <w:sz w:val="18"/>
                <w:szCs w:val="18"/>
              </w:rPr>
              <w:t>4.53</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2008[卫生间]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31.49</w:t>
            </w:r>
          </w:p>
        </w:tc>
        <w:tc>
          <w:tcPr>
            <w:vAlign w:val="center"/>
          </w:tcPr>
          <w:p>
            <w:pPr>
              <w:rPr>
                <w:sz w:val="18"/>
                <w:szCs w:val="18"/>
              </w:rPr>
            </w:pPr>
            <w:r>
              <w:rPr>
                <w:sz w:val="18"/>
                <w:szCs w:val="18"/>
              </w:rPr>
              <w:t>0.00</w:t>
            </w:r>
          </w:p>
        </w:tc>
        <w:tc>
          <w:tcPr>
            <w:vAlign w:val="center"/>
          </w:tcPr>
          <w:p>
            <w:pPr>
              <w:rPr>
                <w:sz w:val="18"/>
                <w:szCs w:val="18"/>
              </w:rPr>
            </w:pPr>
            <w:r>
              <w:rPr>
                <w:sz w:val="18"/>
                <w:szCs w:val="18"/>
              </w:rPr>
              <w:t>1.00</w:t>
            </w:r>
          </w:p>
        </w:tc>
        <w:tc>
          <w:tcPr>
            <w:vAlign w:val="center"/>
          </w:tcPr>
          <w:p>
            <w:pPr>
              <w:rPr>
                <w:sz w:val="18"/>
                <w:szCs w:val="18"/>
              </w:rPr>
            </w:pPr>
            <w:r>
              <w:rPr>
                <w:color w:val="FF00FF"/>
                <w:sz w:val="18"/>
                <w:szCs w:val="18"/>
              </w:rPr>
              <w:t>未计算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2009[展览馆]</w:t>
            </w:r>
          </w:p>
        </w:tc>
        <w:tc>
          <w:tcPr>
            <w:vAlign w:val="center"/>
          </w:tcPr>
          <w:p>
            <w:pPr>
              <w:rPr>
                <w:sz w:val="18"/>
                <w:szCs w:val="18"/>
              </w:rPr>
            </w:pPr>
            <w:r>
              <w:rPr>
                <w:sz w:val="18"/>
                <w:szCs w:val="18"/>
              </w:rPr>
              <w:t>展厅（单层及顶层）</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30.02</w:t>
            </w:r>
          </w:p>
        </w:tc>
        <w:tc>
          <w:tcPr>
            <w:vAlign w:val="center"/>
          </w:tcPr>
          <w:p>
            <w:pPr>
              <w:rPr>
                <w:sz w:val="18"/>
                <w:szCs w:val="18"/>
              </w:rPr>
            </w:pPr>
            <w:r>
              <w:rPr>
                <w:sz w:val="18"/>
                <w:szCs w:val="18"/>
              </w:rPr>
              <w:t>3.92</w:t>
            </w:r>
          </w:p>
        </w:tc>
        <w:tc>
          <w:tcPr>
            <w:vAlign w:val="center"/>
          </w:tcPr>
          <w:p>
            <w:pPr>
              <w:rPr>
                <w:sz w:val="18"/>
                <w:szCs w:val="18"/>
              </w:rPr>
            </w:pPr>
            <w:r>
              <w:rPr>
                <w:sz w:val="18"/>
                <w:szCs w:val="18"/>
              </w:rPr>
              <w:t>3.00</w:t>
            </w:r>
          </w:p>
        </w:tc>
        <w:tc>
          <w:tcPr>
            <w:vAlign w:val="center"/>
          </w:tcPr>
          <w:p>
            <w:pPr>
              <w:rPr>
                <w:sz w:val="18"/>
                <w:szCs w:val="18"/>
              </w:rPr>
            </w:pPr>
            <w:r>
              <w:rPr>
                <w:sz w:val="18"/>
                <w:szCs w:val="18"/>
              </w:rPr>
              <w:t>满足</w:t>
            </w:r>
          </w:p>
        </w:tc>
      </w:tr>
    </w:tbl>
    <w:p>
      <w:pPr>
        <w:pStyle w:val="3"/>
        <w:rPr>
          <w:rFonts w:ascii="宋体" w:hAnsi="宋体"/>
          <w:sz w:val="18"/>
          <w:szCs w:val="18"/>
          <w:lang w:val="en-US"/>
        </w:rPr>
      </w:pPr>
    </w:p>
    <w:p>
      <w:pPr>
        <w:pStyle w:val="2"/>
        <w:ind w:left="432" w:hanging="432"/>
      </w:pPr>
      <w:bookmarkStart w:id="77" w:name="_Toc11508"/>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076825"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076825" cy="8010525"/>
                    </a:xfrm>
                    <a:prstGeom prst="rect">
                      <a:avLst/>
                    </a:prstGeom>
                  </pic:spPr>
                </pic:pic>
              </a:graphicData>
            </a:graphic>
          </wp:inline>
        </w:drawing>
      </w:r>
    </w:p>
    <w:p>
      <w:r>
        <w:t>1层</w:t>
      </w:r>
    </w:p>
    <w:p>
      <w:r>
        <w:drawing>
          <wp:inline distT="0" distB="0" distL="0" distR="0">
            <wp:extent cx="5667375" cy="33147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314700"/>
                    </a:xfrm>
                    <a:prstGeom prst="rect">
                      <a:avLst/>
                    </a:prstGeom>
                  </pic:spPr>
                </pic:pic>
              </a:graphicData>
            </a:graphic>
          </wp:inline>
        </w:drawing>
      </w:r>
    </w:p>
    <w:p>
      <w:r>
        <w:t>2层</w:t>
      </w:r>
    </w:p>
    <w:p/>
    <w:p>
      <w:pPr>
        <w:pStyle w:val="2"/>
        <w:ind w:left="432" w:hanging="432"/>
      </w:pPr>
      <w:bookmarkStart w:id="79" w:name="_Toc2296"/>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房间/面积</w:t>
            </w:r>
          </w:p>
        </w:tc>
        <w:tc>
          <w:tcPr>
            <w:shd w:val="clear" w:color="auto" w:fill="E6E6E6"/>
            <w:vAlign w:val="center"/>
          </w:tcPr>
          <w:p>
            <w:pPr>
              <w:jc w:val="center"/>
              <w:rPr>
                <w:sz w:val="21"/>
                <w:szCs w:val="21"/>
              </w:rPr>
            </w:pPr>
            <w:r>
              <w:rPr>
                <w:sz w:val="21"/>
                <w:szCs w:val="21"/>
              </w:rPr>
              <w:t>总数</w:t>
            </w:r>
          </w:p>
        </w:tc>
        <w:tc>
          <w:tcPr>
            <w:shd w:val="clear" w:color="auto" w:fill="E6E6E6"/>
            <w:vAlign w:val="center"/>
          </w:tcPr>
          <w:p>
            <w:pPr>
              <w:jc w:val="center"/>
              <w:rPr>
                <w:sz w:val="21"/>
                <w:szCs w:val="21"/>
              </w:rPr>
            </w:pPr>
            <w:r>
              <w:rPr>
                <w:sz w:val="21"/>
                <w:szCs w:val="21"/>
              </w:rPr>
              <w:t>满足要求数量</w:t>
            </w:r>
          </w:p>
        </w:tc>
        <w:tc>
          <w:tcPr>
            <w:shd w:val="clear" w:color="auto" w:fill="E6E6E6"/>
            <w:vAlign w:val="center"/>
          </w:tcPr>
          <w:p>
            <w:pPr>
              <w:jc w:val="center"/>
              <w:rPr>
                <w:sz w:val="21"/>
                <w:szCs w:val="21"/>
              </w:rPr>
            </w:pPr>
            <w:r>
              <w:rPr>
                <w:sz w:val="21"/>
                <w:szCs w:val="21"/>
              </w:rPr>
              <w:t>满足要求比例(%)</w:t>
            </w:r>
          </w:p>
        </w:tc>
        <w:tc>
          <w:tcPr>
            <w:shd w:val="clear" w:color="auto" w:fill="E6E6E6"/>
            <w:vAlign w:val="center"/>
          </w:tcPr>
          <w:p>
            <w:pPr>
              <w:jc w:val="center"/>
              <w:rPr>
                <w:sz w:val="21"/>
                <w:szCs w:val="21"/>
              </w:rPr>
            </w:pPr>
            <w:r>
              <w:rPr>
                <w:sz w:val="21"/>
                <w:szCs w:val="21"/>
              </w:rPr>
              <w:t>不满足非强条的房间</w:t>
            </w:r>
          </w:p>
        </w:tc>
        <w:tc>
          <w:tcPr>
            <w:shd w:val="clear" w:color="auto" w:fill="E6E6E6"/>
            <w:vAlign w:val="center"/>
          </w:tcPr>
          <w:p>
            <w:pPr>
              <w:jc w:val="center"/>
              <w:rPr>
                <w:sz w:val="21"/>
                <w:szCs w:val="21"/>
              </w:rPr>
            </w:pPr>
            <w:r>
              <w:rPr>
                <w:sz w:val="21"/>
                <w:szCs w:val="21"/>
              </w:rPr>
              <w:t>不满足强条的房间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房间(个)</w:t>
            </w:r>
          </w:p>
        </w:tc>
        <w:tc>
          <w:tcPr>
            <w:vAlign w:val="center"/>
          </w:tcPr>
          <w:p>
            <w:pPr>
              <w:rPr>
                <w:sz w:val="21"/>
                <w:szCs w:val="21"/>
              </w:rPr>
            </w:pPr>
            <w:r>
              <w:rPr>
                <w:sz w:val="21"/>
                <w:szCs w:val="21"/>
              </w:rPr>
              <w:t>15</w:t>
            </w:r>
          </w:p>
        </w:tc>
        <w:tc>
          <w:tcPr>
            <w:vAlign w:val="center"/>
          </w:tcPr>
          <w:p>
            <w:pPr>
              <w:rPr>
                <w:sz w:val="21"/>
                <w:szCs w:val="21"/>
              </w:rPr>
            </w:pPr>
            <w:r>
              <w:rPr>
                <w:sz w:val="21"/>
                <w:szCs w:val="21"/>
              </w:rPr>
              <w:t>9</w:t>
            </w:r>
          </w:p>
        </w:tc>
        <w:tc>
          <w:tcPr>
            <w:vAlign w:val="center"/>
          </w:tcPr>
          <w:p>
            <w:pPr>
              <w:rPr>
                <w:sz w:val="21"/>
                <w:szCs w:val="21"/>
              </w:rPr>
            </w:pPr>
            <w:r>
              <w:rPr>
                <w:sz w:val="21"/>
                <w:szCs w:val="21"/>
              </w:rPr>
              <w:t>60.00</w:t>
            </w:r>
          </w:p>
        </w:tc>
        <w:tc>
          <w:tcPr>
            <w:vAlign w:val="center"/>
          </w:tcPr>
          <w:p>
            <w:pPr>
              <w:rPr>
                <w:sz w:val="21"/>
                <w:szCs w:val="21"/>
              </w:rPr>
            </w:pPr>
            <w:r>
              <w:rPr>
                <w:color w:val="FF00FF"/>
                <w:sz w:val="21"/>
                <w:szCs w:val="21"/>
              </w:rPr>
              <w:t xml:space="preserve">1005 1009 1010 1011 2001 2008 </w:t>
            </w:r>
          </w:p>
        </w:tc>
        <w:tc>
          <w:tcPr>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采光面积(㎡)</w:t>
            </w:r>
          </w:p>
        </w:tc>
        <w:tc>
          <w:tcPr>
            <w:vAlign w:val="center"/>
          </w:tcPr>
          <w:p>
            <w:pPr>
              <w:rPr>
                <w:sz w:val="21"/>
                <w:szCs w:val="21"/>
              </w:rPr>
            </w:pPr>
            <w:r>
              <w:rPr>
                <w:sz w:val="21"/>
                <w:szCs w:val="21"/>
              </w:rPr>
              <w:t>912.46</w:t>
            </w:r>
          </w:p>
        </w:tc>
        <w:tc>
          <w:tcPr>
            <w:vAlign w:val="center"/>
          </w:tcPr>
          <w:p>
            <w:pPr>
              <w:rPr>
                <w:sz w:val="21"/>
                <w:szCs w:val="21"/>
              </w:rPr>
            </w:pPr>
            <w:r>
              <w:rPr>
                <w:sz w:val="21"/>
                <w:szCs w:val="21"/>
              </w:rPr>
              <w:t>641.70</w:t>
            </w:r>
          </w:p>
        </w:tc>
        <w:tc>
          <w:tcPr>
            <w:vAlign w:val="center"/>
          </w:tcPr>
          <w:p>
            <w:pPr>
              <w:rPr>
                <w:sz w:val="21"/>
                <w:szCs w:val="21"/>
              </w:rPr>
            </w:pPr>
            <w:r>
              <w:rPr>
                <w:sz w:val="21"/>
                <w:szCs w:val="21"/>
              </w:rPr>
              <w:t>70.33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2053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E22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88\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tmp13.dotx</Template>
  <Pages>11</Pages>
  <Words>3408</Words>
  <Characters>4465</Characters>
  <Lines>32</Lines>
  <Paragraphs>9</Paragraphs>
  <TotalTime>0</TotalTime>
  <ScaleCrop>false</ScaleCrop>
  <LinksUpToDate>false</LinksUpToDate>
  <CharactersWithSpaces>4580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2024-12-23T14:29:00Z</dcterms:created>
  <dc:creator>un.</dc:creator>
  <cp:lastModifiedBy>un.</cp:lastModifiedBy>
  <dcterms:modified xsi:type="dcterms:W3CDTF">2024-12-23T14:30:02Z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