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pPr>
        <w:spacing w:before="312" w:beforeLines="100" w:line="180" w:lineRule="atLeast"/>
        <w:jc w:val="center"/>
        <w:rPr>
          <w:rFonts w:ascii="黑体" w:hAnsi="宋体" w:eastAsia="黑体"/>
          <w:b/>
          <w:bCs/>
          <w:sz w:val="36"/>
          <w:szCs w:val="36"/>
        </w:rPr>
      </w:pPr>
      <w:r>
        <w:rPr>
          <w:rFonts w:hint="eastAsia" w:ascii="黑体" w:hAnsi="宋体" w:eastAsia="黑体"/>
          <w:b/>
          <w:bCs/>
          <w:sz w:val="36"/>
          <w:szCs w:val="36"/>
        </w:rPr>
        <w:t>（公建内区采光）</w:t>
      </w:r>
    </w:p>
    <w:p>
      <w:pPr>
        <w:spacing w:line="180" w:lineRule="atLeast"/>
        <w:jc w:val="center"/>
        <w:rPr>
          <w:rFonts w:ascii="宋体" w:hAnsi="宋体"/>
          <w:b/>
          <w:bCs/>
          <w:lang w:val="en-US"/>
        </w:rPr>
      </w:pPr>
    </w:p>
    <w:p>
      <w:pPr>
        <w:spacing w:line="180" w:lineRule="atLeast"/>
        <w:jc w:val="center"/>
        <w:rPr>
          <w:rFonts w:ascii="宋体" w:hAnsi="宋体"/>
          <w:b/>
          <w:bCs/>
          <w:lang w:val="en-US"/>
        </w:rPr>
      </w:pPr>
    </w:p>
    <w:p>
      <w:pPr>
        <w:spacing w:line="180" w:lineRule="atLeast"/>
        <w:jc w:val="center"/>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ind w:firstLine="0" w:firstLineChars="0"/>
            </w:pPr>
            <w:r>
              <w:rPr>
                <w:rFonts w:hint="eastAsia"/>
              </w:rPr>
              <w:t>工程名称</w:t>
            </w:r>
          </w:p>
        </w:tc>
        <w:tc>
          <w:tcPr>
            <w:tcW w:w="3780" w:type="dxa"/>
          </w:tcPr>
          <w:p>
            <w:pPr>
              <w:jc w:val="center"/>
              <w:rPr>
                <w:rFonts w:hint="default"/>
                <w:woUserID w:val="1"/>
              </w:rPr>
            </w:pPr>
            <w:r>
              <w:rPr>
                <w:woUserID w:val="1"/>
              </w:rPr>
              <w:t>官寺村党群服务中心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设计编号</w:t>
            </w:r>
          </w:p>
        </w:tc>
        <w:tc>
          <w:tcPr>
            <w:tcW w:w="3780" w:type="dxa"/>
          </w:tcPr>
          <w:p>
            <w:pPr>
              <w:jc w:val="center"/>
            </w:pPr>
            <w:bookmarkStart w:id="0" w:name="设计编号"/>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建设单位</w:t>
            </w:r>
          </w:p>
        </w:tc>
        <w:tc>
          <w:tcPr>
            <w:tcW w:w="3780" w:type="dxa"/>
          </w:tcPr>
          <w:p>
            <w:pPr>
              <w:jc w:val="center"/>
            </w:pPr>
            <w:bookmarkStart w:id="1" w:name="建设单位"/>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设计单位</w:t>
            </w:r>
          </w:p>
        </w:tc>
        <w:tc>
          <w:tcPr>
            <w:tcW w:w="3780" w:type="dxa"/>
          </w:tcPr>
          <w:p>
            <w:pPr>
              <w:jc w:val="center"/>
            </w:pPr>
            <w:bookmarkStart w:id="2" w:name="设计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核 人</w:t>
            </w:r>
          </w:p>
        </w:tc>
        <w:tc>
          <w:tcPr>
            <w:tcW w:w="3780" w:type="dxa"/>
          </w:tcPr>
          <w:p>
            <w:pPr>
              <w:jc w:val="center"/>
            </w:pPr>
            <w:bookmarkStart w:id="3" w:name="审核人"/>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定 人</w:t>
            </w:r>
          </w:p>
        </w:tc>
        <w:tc>
          <w:tcPr>
            <w:tcW w:w="3780" w:type="dxa"/>
          </w:tcPr>
          <w:p>
            <w:pPr>
              <w:jc w:val="center"/>
            </w:pPr>
            <w:bookmarkStart w:id="4" w:name="审定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ind w:firstLine="0" w:firstLineChars="0"/>
            </w:pPr>
            <w:r>
              <w:rPr>
                <w:rFonts w:hint="eastAsia"/>
              </w:rPr>
              <w:t>计算日期</w:t>
            </w:r>
          </w:p>
        </w:tc>
        <w:tc>
          <w:tcPr>
            <w:tcW w:w="3780" w:type="dxa"/>
          </w:tcPr>
          <w:p>
            <w:pPr>
              <w:jc w:val="center"/>
            </w:pPr>
            <w:bookmarkStart w:id="5" w:name="计算日期"/>
            <w:r>
              <w:t>2024年12月1</w:t>
            </w:r>
            <w:r>
              <w:rPr>
                <w:woUserID w:val="1"/>
              </w:rPr>
              <w:t>8</w:t>
            </w:r>
            <w:bookmarkStart w:id="72" w:name="_GoBack"/>
            <w:bookmarkEnd w:id="72"/>
            <w:r>
              <w:t>日</w:t>
            </w:r>
            <w:bookmarkEnd w:id="5"/>
          </w:p>
        </w:tc>
      </w:tr>
    </w:tbl>
    <w:p>
      <w:pPr>
        <w:jc w:val="center"/>
        <w:rPr>
          <w:rFonts w:ascii="黑体" w:hAnsi="黑体" w:eastAsia="黑体"/>
          <w:bCs/>
          <w:sz w:val="28"/>
          <w:szCs w:val="28"/>
        </w:rPr>
      </w:pPr>
    </w:p>
    <w:p>
      <w:pPr>
        <w:jc w:val="center"/>
        <w:rPr>
          <w:rFonts w:ascii="黑体" w:hAnsi="黑体" w:eastAsia="黑体"/>
          <w:b/>
          <w:bCs/>
          <w:sz w:val="30"/>
          <w:szCs w:val="32"/>
        </w:rPr>
      </w:pPr>
      <w:bookmarkStart w:id="6" w:name="二维码"/>
      <w:bookmarkEnd w:id="6"/>
      <w:r>
        <w:drawing>
          <wp:inline distT="0" distB="0" distL="0" distR="0">
            <wp:extent cx="2171700" cy="21717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jc w:val="center"/>
        <w:rPr>
          <w:rFonts w:ascii="黑体" w:hAnsi="黑体" w:eastAsia="黑体"/>
          <w:b/>
          <w:bCs/>
          <w:sz w:val="30"/>
          <w:szCs w:val="32"/>
        </w:rPr>
      </w:pPr>
    </w:p>
    <w:p>
      <w:pPr>
        <w:jc w:val="cente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pPr>
            <w:r>
              <w:rPr>
                <w:rFonts w:hint="eastAsia"/>
              </w:rPr>
              <w:t>采用软件</w:t>
            </w:r>
          </w:p>
        </w:tc>
        <w:tc>
          <w:tcPr>
            <w:tcW w:w="3780" w:type="dxa"/>
            <w:shd w:val="clear" w:color="auto" w:fill="auto"/>
            <w:vAlign w:val="center"/>
          </w:tcPr>
          <w:p>
            <w:pPr>
              <w:jc w:val="center"/>
            </w:pPr>
            <w:bookmarkStart w:id="7" w:name="采用软件"/>
            <w:r>
              <w:t>采光分析DALI2024</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软件版本</w:t>
            </w:r>
          </w:p>
        </w:tc>
        <w:tc>
          <w:tcPr>
            <w:tcW w:w="3780" w:type="dxa"/>
            <w:vAlign w:val="center"/>
          </w:tcPr>
          <w:p>
            <w:pPr>
              <w:jc w:val="center"/>
              <w:rPr>
                <w:szCs w:val="18"/>
              </w:rPr>
            </w:pPr>
            <w:bookmarkStart w:id="8" w:name="软件版本"/>
            <w:r>
              <w:rPr>
                <w:szCs w:val="18"/>
              </w:rPr>
              <w:t>20240430(SP1)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研发单位</w:t>
            </w:r>
          </w:p>
        </w:tc>
        <w:tc>
          <w:tcPr>
            <w:tcW w:w="3780" w:type="dxa"/>
            <w:vAlign w:val="center"/>
          </w:tcPr>
          <w:p>
            <w:pPr>
              <w:jc w:val="center"/>
              <w:rPr>
                <w:szCs w:val="18"/>
              </w:rPr>
            </w:pPr>
            <w:bookmarkStart w:id="9" w:name="研发单位"/>
            <w:r>
              <w:rPr>
                <w:rFonts w:hint="eastAsia"/>
                <w:szCs w:val="18"/>
              </w:rPr>
              <w:t>北京绿建软件股份有限公司</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ind w:firstLine="0" w:firstLineChars="0"/>
              <w:jc w:val="both"/>
              <w:rPr>
                <w:szCs w:val="18"/>
              </w:rPr>
            </w:pPr>
            <w:r>
              <w:rPr>
                <w:rFonts w:hint="eastAsia"/>
                <w:szCs w:val="18"/>
              </w:rPr>
              <w:t>正版授权码</w:t>
            </w:r>
          </w:p>
        </w:tc>
        <w:tc>
          <w:tcPr>
            <w:tcW w:w="3780" w:type="dxa"/>
            <w:shd w:val="clear" w:color="auto" w:fill="auto"/>
            <w:vAlign w:val="center"/>
          </w:tcPr>
          <w:p>
            <w:pPr>
              <w:jc w:val="center"/>
              <w:rPr>
                <w:szCs w:val="18"/>
              </w:rPr>
            </w:pPr>
            <w:bookmarkStart w:id="10" w:name="正版授权码"/>
            <w:r>
              <w:t>T13658509167</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ind w:firstLine="0" w:firstLineChars="0"/>
              <w:jc w:val="both"/>
              <w:rPr>
                <w:szCs w:val="18"/>
              </w:rPr>
            </w:pPr>
            <w:r>
              <w:rPr>
                <w:rFonts w:hint="eastAsia"/>
                <w:szCs w:val="18"/>
              </w:rPr>
              <w:t>服务热线</w:t>
            </w:r>
          </w:p>
        </w:tc>
        <w:tc>
          <w:tcPr>
            <w:tcW w:w="3780" w:type="dxa"/>
            <w:shd w:val="clear" w:color="auto" w:fill="auto"/>
            <w:vAlign w:val="center"/>
          </w:tcPr>
          <w:p>
            <w:pPr>
              <w:jc w:val="center"/>
              <w:rPr>
                <w:szCs w:val="18"/>
              </w:rPr>
            </w:pPr>
            <w:r>
              <w:rPr>
                <w:rFonts w:hint="eastAsia"/>
                <w:szCs w:val="18"/>
              </w:rPr>
              <w:t>400-094-1228</w:t>
            </w:r>
          </w:p>
        </w:tc>
      </w:tr>
    </w:tbl>
    <w:p>
      <w:pPr>
        <w:pStyle w:val="2"/>
        <w:numPr>
          <w:ilvl w:val="0"/>
          <w:numId w:val="0"/>
        </w:numPr>
      </w:pPr>
    </w:p>
    <w:p>
      <w:pPr>
        <w:pStyle w:val="3"/>
        <w:ind w:firstLine="420"/>
        <w:rPr>
          <w:lang w:val="en-US"/>
        </w:rPr>
      </w:pPr>
    </w:p>
    <w:p>
      <w:pPr>
        <w:pStyle w:val="3"/>
        <w:ind w:firstLine="420"/>
        <w:rPr>
          <w:lang w:val="en-US"/>
        </w:rPr>
      </w:pPr>
    </w:p>
    <w:p>
      <w:pPr>
        <w:pStyle w:val="3"/>
        <w:ind w:firstLine="420"/>
        <w:rPr>
          <w:lang w:val="en-US"/>
        </w:rPr>
      </w:pPr>
    </w:p>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项目</w:t>
            </w:r>
            <w:r>
              <w:rPr>
                <w:lang w:val="en-US"/>
              </w:rPr>
              <w:t>所在地</w:t>
            </w:r>
          </w:p>
        </w:tc>
        <w:tc>
          <w:tcPr>
            <w:tcW w:w="6624" w:type="dxa"/>
            <w:gridSpan w:val="3"/>
          </w:tcPr>
          <w:p>
            <w:pPr>
              <w:rPr>
                <w:lang w:val="en-US"/>
              </w:rPr>
            </w:pPr>
            <w:bookmarkStart w:id="11" w:name="项目地点"/>
            <w:r>
              <w:rPr>
                <w:rFonts w:hint="eastAsia"/>
                <w:lang w:val="en-US"/>
              </w:rPr>
              <w:t>南阳</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光气候分区</w:t>
            </w:r>
          </w:p>
        </w:tc>
        <w:tc>
          <w:tcPr>
            <w:tcW w:w="2700" w:type="dxa"/>
          </w:tcPr>
          <w:p>
            <w:pPr>
              <w:rPr>
                <w:lang w:val="en-US"/>
              </w:rPr>
            </w:pPr>
            <w:bookmarkStart w:id="12" w:name="光气候分区"/>
            <w:r>
              <w:rPr>
                <w:lang w:val="en-US"/>
              </w:rPr>
              <w:t>IV</w:t>
            </w:r>
            <w:bookmarkEnd w:id="12"/>
          </w:p>
        </w:tc>
        <w:tc>
          <w:tcPr>
            <w:tcW w:w="1800" w:type="dxa"/>
            <w:shd w:val="clear" w:color="auto" w:fill="E0E0E0"/>
          </w:tcPr>
          <w:p>
            <w:pPr>
              <w:rPr>
                <w:lang w:val="en-US"/>
              </w:rPr>
            </w:pPr>
            <w:r>
              <w:rPr>
                <w:rFonts w:hint="eastAsia"/>
                <w:lang w:val="en-US"/>
              </w:rPr>
              <w:t>光气候系数K</w:t>
            </w:r>
          </w:p>
        </w:tc>
        <w:tc>
          <w:tcPr>
            <w:tcW w:w="2124" w:type="dxa"/>
          </w:tcPr>
          <w:p>
            <w:pPr>
              <w:rPr>
                <w:lang w:val="en-US"/>
              </w:rPr>
            </w:pPr>
            <w:bookmarkStart w:id="13" w:name="光气候系数K"/>
            <w:r>
              <w:rPr>
                <w:lang w:val="en-US"/>
              </w:rPr>
              <w:t>1.10</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建筑面积</w:t>
            </w:r>
          </w:p>
        </w:tc>
        <w:tc>
          <w:tcPr>
            <w:tcW w:w="6624" w:type="dxa"/>
            <w:gridSpan w:val="3"/>
          </w:tcPr>
          <w:p>
            <w:pPr>
              <w:rPr>
                <w:lang w:val="en-US"/>
              </w:rPr>
            </w:pPr>
            <w:r>
              <w:rPr>
                <w:rFonts w:hint="eastAsia"/>
                <w:lang w:val="en-US"/>
              </w:rPr>
              <w:t xml:space="preserve">地上  </w:t>
            </w:r>
            <w:bookmarkStart w:id="14" w:name="地上建筑面积"/>
            <w:r>
              <w:rPr>
                <w:lang w:val="en-US"/>
              </w:rPr>
              <w:t>3520.66</w:t>
            </w:r>
            <w:bookmarkEnd w:id="14"/>
            <w:r>
              <w:rPr>
                <w:rFonts w:hint="eastAsia"/>
              </w:rPr>
              <w:t>㎡</w:t>
            </w:r>
            <w:r>
              <w:rPr>
                <w:rFonts w:hint="eastAsia"/>
                <w:lang w:val="en-US"/>
              </w:rPr>
              <w:t xml:space="preserve">    地下  </w:t>
            </w:r>
            <w:bookmarkStart w:id="15" w:name="地下建筑面积"/>
            <w:r>
              <w:rPr>
                <w:lang w:val="en-US"/>
              </w:rPr>
              <w:t>0.00</w:t>
            </w:r>
            <w:bookmarkEnd w:id="15"/>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建筑层数</w:t>
            </w:r>
          </w:p>
        </w:tc>
        <w:tc>
          <w:tcPr>
            <w:tcW w:w="6624" w:type="dxa"/>
            <w:gridSpan w:val="3"/>
          </w:tcPr>
          <w:p>
            <w:pPr>
              <w:rPr>
                <w:lang w:val="en-US"/>
              </w:rPr>
            </w:pPr>
            <w:r>
              <w:rPr>
                <w:rFonts w:hint="eastAsia"/>
                <w:lang w:val="en-US"/>
              </w:rPr>
              <w:t xml:space="preserve">地上  </w:t>
            </w:r>
            <w:bookmarkStart w:id="16" w:name="地上建筑层数"/>
            <w:r>
              <w:rPr>
                <w:lang w:val="en-US"/>
              </w:rPr>
              <w:t>2</w:t>
            </w:r>
            <w:bookmarkEnd w:id="16"/>
            <w:r>
              <w:rPr>
                <w:rFonts w:hint="eastAsia"/>
                <w:lang w:val="en-US"/>
              </w:rPr>
              <w:t xml:space="preserve">          地下 </w:t>
            </w:r>
            <w:bookmarkStart w:id="17" w:name="地下建筑层数"/>
            <w:r>
              <w:rPr>
                <w:lang w:val="en-US"/>
              </w:rPr>
              <w:t>0</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建筑高度</w:t>
            </w:r>
          </w:p>
        </w:tc>
        <w:tc>
          <w:tcPr>
            <w:tcW w:w="6624" w:type="dxa"/>
            <w:gridSpan w:val="3"/>
          </w:tcPr>
          <w:p>
            <w:pPr>
              <w:rPr>
                <w:lang w:val="en-US"/>
              </w:rPr>
            </w:pPr>
            <w:r>
              <w:rPr>
                <w:rFonts w:hint="eastAsia"/>
                <w:lang w:val="en-US"/>
              </w:rPr>
              <w:t xml:space="preserve">地上 </w:t>
            </w:r>
            <w:bookmarkStart w:id="18" w:name="地上建筑高度"/>
            <w:r>
              <w:rPr>
                <w:lang w:val="en-US"/>
              </w:rPr>
              <w:t>10.80</w:t>
            </w:r>
            <w:bookmarkEnd w:id="18"/>
            <w:r>
              <w:rPr>
                <w:rFonts w:hint="eastAsia"/>
                <w:lang w:val="en-US"/>
              </w:rPr>
              <w:t xml:space="preserve"> m     地下  </w:t>
            </w:r>
            <w:bookmarkStart w:id="19" w:name="地下建筑高度"/>
            <w:r>
              <w:rPr>
                <w:lang w:val="en-US"/>
              </w:rPr>
              <w:t>0.00</w:t>
            </w:r>
            <w:bookmarkEnd w:id="19"/>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rPr>
              <w:t>备注</w:t>
            </w:r>
          </w:p>
        </w:tc>
        <w:tc>
          <w:tcPr>
            <w:tcW w:w="6624" w:type="dxa"/>
            <w:gridSpan w:val="3"/>
          </w:tcPr>
          <w:p>
            <w:pPr>
              <w:rPr>
                <w:lang w:val="en-US"/>
              </w:rPr>
            </w:pPr>
            <w:bookmarkStart w:id="20" w:name="备注"/>
            <w:bookmarkEnd w:id="20"/>
          </w:p>
        </w:tc>
      </w:tr>
    </w:tbl>
    <w:p>
      <w:pPr>
        <w:jc w:val="center"/>
      </w:pPr>
    </w:p>
    <w:p>
      <w:pPr>
        <w:pStyle w:val="2"/>
      </w:pPr>
      <w:r>
        <w:rPr>
          <w:rFonts w:hint="eastAsia"/>
        </w:rPr>
        <w:t>设计依据</w:t>
      </w:r>
    </w:p>
    <w:p>
      <w:pPr>
        <w:numPr>
          <w:ilvl w:val="0"/>
          <w:numId w:val="2"/>
        </w:numPr>
        <w:rPr>
          <w:lang w:val="en-US"/>
        </w:rPr>
      </w:pPr>
      <w:r>
        <w:rPr>
          <w:rFonts w:hint="eastAsia"/>
          <w:lang w:val="en-US"/>
        </w:rPr>
        <w:t>《绿色建筑评价标准》 GB50378-201</w:t>
      </w:r>
      <w:r>
        <w:rPr>
          <w:lang w:val="en-US"/>
        </w:rPr>
        <w:t>9</w:t>
      </w:r>
    </w:p>
    <w:p>
      <w:pPr>
        <w:numPr>
          <w:ilvl w:val="0"/>
          <w:numId w:val="2"/>
        </w:numPr>
        <w:rPr>
          <w:lang w:val="en-US"/>
        </w:rPr>
      </w:pPr>
      <w:r>
        <w:rPr>
          <w:rFonts w:hint="eastAsia"/>
          <w:lang w:val="en-US"/>
        </w:rPr>
        <w:t xml:space="preserve">《建筑采光设计标准》 </w:t>
      </w:r>
      <w:bookmarkStart w:id="21" w:name="采光标准"/>
      <w:r>
        <w:rPr>
          <w:lang w:val="en-US"/>
        </w:rPr>
        <w:t>GB50033-2013</w:t>
      </w:r>
      <w:bookmarkEnd w:id="21"/>
    </w:p>
    <w:p>
      <w:pPr>
        <w:numPr>
          <w:ilvl w:val="0"/>
          <w:numId w:val="2"/>
        </w:numPr>
        <w:rPr>
          <w:lang w:val="en-US"/>
        </w:rPr>
      </w:pPr>
      <w:r>
        <w:rPr>
          <w:lang w:val="en-US"/>
        </w:rPr>
        <w:t>《绿色建筑评价标准</w:t>
      </w:r>
      <w:r>
        <w:rPr>
          <w:rFonts w:hint="eastAsia"/>
          <w:lang w:val="en-US"/>
        </w:rPr>
        <w:t>技术细则2019</w:t>
      </w:r>
      <w:r>
        <w:rPr>
          <w:lang w:val="en-US"/>
        </w:rPr>
        <w:t>》</w:t>
      </w:r>
    </w:p>
    <w:p>
      <w:pPr>
        <w:numPr>
          <w:ilvl w:val="0"/>
          <w:numId w:val="2"/>
        </w:numPr>
        <w:rPr>
          <w:lang w:val="en-US"/>
        </w:rPr>
      </w:pPr>
      <w:r>
        <w:rPr>
          <w:lang w:val="en-US"/>
        </w:rPr>
        <w:t>《采光测量方法》GB/T5699-2017</w:t>
      </w:r>
    </w:p>
    <w:p>
      <w:pPr>
        <w:pStyle w:val="3"/>
        <w:ind w:firstLine="420"/>
        <w:rPr>
          <w:rFonts w:ascii="宋体" w:hAnsi="宋体"/>
          <w:lang w:val="en-US"/>
        </w:rPr>
      </w:pPr>
    </w:p>
    <w:p>
      <w:pPr>
        <w:pStyle w:val="2"/>
      </w:pPr>
      <w:r>
        <w:rPr>
          <w:rFonts w:hint="eastAsia"/>
        </w:rPr>
        <w:t>分析</w:t>
      </w:r>
      <w:r>
        <w:t>目的</w:t>
      </w:r>
    </w:p>
    <w:p>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pPr>
        <w:pStyle w:val="2"/>
      </w:pPr>
      <w:r>
        <w:rPr>
          <w:rFonts w:hint="eastAsia"/>
        </w:rPr>
        <w:t>标准</w:t>
      </w:r>
      <w:r>
        <w:t>要求</w:t>
      </w:r>
    </w:p>
    <w:p>
      <w:pPr>
        <w:numPr>
          <w:ilvl w:val="0"/>
          <w:numId w:val="3"/>
        </w:numPr>
        <w:rPr>
          <w:b/>
        </w:rPr>
      </w:pPr>
      <w:bookmarkStart w:id="22" w:name="标准名称1"/>
      <w:r>
        <w:rPr>
          <w:b/>
        </w:rPr>
        <w:t>《绿色建筑评价标准》GB/T 50378-2019</w:t>
      </w:r>
      <w:bookmarkEnd w:id="22"/>
    </w:p>
    <w:p>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pPr>
        <w:ind w:left="210" w:leftChars="100" w:firstLine="420" w:firstLineChars="200"/>
        <w:rPr>
          <w:szCs w:val="21"/>
        </w:rPr>
      </w:pPr>
      <w:r>
        <w:rPr>
          <w:szCs w:val="21"/>
        </w:rPr>
        <w:t xml:space="preserve">2 </w:t>
      </w:r>
      <w:r>
        <w:rPr>
          <w:rFonts w:hint="eastAsia"/>
          <w:szCs w:val="21"/>
        </w:rPr>
        <w:t>公共建筑按下列规则分别评分并累计：</w:t>
      </w:r>
    </w:p>
    <w:p>
      <w:pPr>
        <w:ind w:left="840" w:leftChars="400"/>
        <w:rPr>
          <w:szCs w:val="21"/>
        </w:rPr>
      </w:pPr>
      <w:r>
        <w:rPr>
          <w:szCs w:val="21"/>
        </w:rPr>
        <w:t xml:space="preserve">1) </w:t>
      </w:r>
      <w:r>
        <w:rPr>
          <w:rFonts w:hint="eastAsia"/>
          <w:szCs w:val="21"/>
        </w:rPr>
        <w:t>内区采光系数满足采光要求的面积比例达到</w:t>
      </w:r>
      <w:bookmarkStart w:id="23" w:name="达标率评价要求"/>
      <w:r>
        <w:rPr>
          <w:szCs w:val="21"/>
        </w:rPr>
        <w:t>60%</w:t>
      </w:r>
      <w:bookmarkEnd w:id="23"/>
      <w:r>
        <w:rPr>
          <w:szCs w:val="21"/>
        </w:rPr>
        <w:t xml:space="preserve">, </w:t>
      </w:r>
      <w:r>
        <w:rPr>
          <w:rFonts w:hint="eastAsia"/>
          <w:szCs w:val="21"/>
        </w:rPr>
        <w:t>得</w:t>
      </w:r>
      <w:bookmarkStart w:id="24" w:name="达标率评价分值"/>
      <w:r>
        <w:rPr>
          <w:szCs w:val="21"/>
        </w:rPr>
        <w:t>3</w:t>
      </w:r>
      <w:bookmarkEnd w:id="24"/>
      <w:r>
        <w:rPr>
          <w:szCs w:val="21"/>
        </w:rPr>
        <w:t xml:space="preserve"> </w:t>
      </w:r>
      <w:r>
        <w:rPr>
          <w:rFonts w:hint="eastAsia"/>
          <w:szCs w:val="21"/>
        </w:rPr>
        <w:t>分；</w:t>
      </w:r>
    </w:p>
    <w:p>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pPr>
        <w:pStyle w:val="14"/>
        <w:spacing w:line="420" w:lineRule="auto"/>
        <w:ind w:left="420" w:firstLine="0" w:firstLineChars="0"/>
        <w:rPr>
          <w:b/>
          <w:sz w:val="21"/>
          <w:szCs w:val="21"/>
        </w:rPr>
      </w:pPr>
    </w:p>
    <w:p>
      <w:pPr>
        <w:ind w:left="420" w:leftChars="200"/>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pPr>
        <w:ind w:left="420" w:leftChars="200"/>
      </w:pPr>
      <w:r>
        <w:rPr>
          <w:rFonts w:hint="eastAsia"/>
          <w:bCs/>
          <w:lang w:val="en-US"/>
        </w:rPr>
        <w:t>《绿色建筑评价标准》GB/T 50378-2019条文5</w:t>
      </w:r>
      <w:r>
        <w:rPr>
          <w:bCs/>
          <w:lang w:val="en-US"/>
        </w:rPr>
        <w:t>.2.8</w:t>
      </w:r>
      <w:r>
        <w:rPr>
          <w:rFonts w:hint="eastAsia"/>
          <w:bCs/>
          <w:lang w:val="en-US"/>
        </w:rPr>
        <w:t>要求采光模拟应符合</w:t>
      </w:r>
      <w:r>
        <w:rPr>
          <w:bCs/>
          <w:lang w:val="en-US"/>
        </w:rPr>
        <w:t>《民用建筑绿色性能计算标准》JGJ/T449-2018</w:t>
      </w:r>
      <w:r>
        <w:rPr>
          <w:rFonts w:hint="eastAsia"/>
          <w:bCs/>
          <w:lang w:val="en-US"/>
        </w:rPr>
        <w:t>第6</w:t>
      </w:r>
      <w:r>
        <w:rPr>
          <w:bCs/>
          <w:lang w:val="en-US"/>
        </w:rPr>
        <w:t>.4.4</w:t>
      </w:r>
      <w:r>
        <w:rPr>
          <w:rFonts w:hint="eastAsia"/>
          <w:bCs/>
          <w:lang w:val="en-US"/>
        </w:rPr>
        <w:t>条要求</w:t>
      </w:r>
      <w:r>
        <w:rPr>
          <w:bCs/>
          <w:lang w:val="en-US"/>
        </w:rPr>
        <w:t xml:space="preserve">: </w:t>
      </w:r>
      <w:r>
        <w:rPr>
          <w:rFonts w:hint="eastAsia"/>
          <w:bCs/>
          <w:lang w:val="en-US"/>
        </w:rPr>
        <w:t>地上建筑模型应包括周边建筑物。</w:t>
      </w:r>
    </w:p>
    <w:p/>
    <w:p>
      <w:pPr>
        <w:pStyle w:val="14"/>
        <w:numPr>
          <w:ilvl w:val="0"/>
          <w:numId w:val="4"/>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pPr>
        <w:pStyle w:val="33"/>
        <w:spacing w:line="360" w:lineRule="auto"/>
        <w:ind w:left="902"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pPr>
              <w:widowControl w:val="0"/>
              <w:jc w:val="center"/>
            </w:pPr>
            <w:r>
              <w:rPr>
                <w:rFonts w:hint="eastAsia"/>
              </w:rPr>
              <w:t>光气候区</w:t>
            </w:r>
          </w:p>
        </w:tc>
        <w:tc>
          <w:tcPr>
            <w:tcW w:w="1314" w:type="dxa"/>
            <w:vAlign w:val="center"/>
          </w:tcPr>
          <w:p>
            <w:pPr>
              <w:widowControl w:val="0"/>
              <w:jc w:val="center"/>
            </w:pPr>
            <w:r>
              <w:rPr>
                <w:rFonts w:hint="eastAsia"/>
              </w:rPr>
              <w:t>Ⅰ</w:t>
            </w:r>
          </w:p>
        </w:tc>
        <w:tc>
          <w:tcPr>
            <w:tcW w:w="1314" w:type="dxa"/>
            <w:vAlign w:val="center"/>
          </w:tcPr>
          <w:p>
            <w:pPr>
              <w:widowControl w:val="0"/>
              <w:jc w:val="center"/>
            </w:pPr>
            <w:r>
              <w:rPr>
                <w:rFonts w:hint="eastAsia"/>
              </w:rPr>
              <w:t>Ⅱ</w:t>
            </w:r>
          </w:p>
        </w:tc>
        <w:tc>
          <w:tcPr>
            <w:tcW w:w="1314" w:type="dxa"/>
            <w:vAlign w:val="center"/>
          </w:tcPr>
          <w:p>
            <w:pPr>
              <w:widowControl w:val="0"/>
              <w:jc w:val="center"/>
            </w:pPr>
            <w:r>
              <w:rPr>
                <w:rFonts w:hint="eastAsia"/>
              </w:rPr>
              <w:t>Ⅲ</w:t>
            </w:r>
          </w:p>
        </w:tc>
        <w:tc>
          <w:tcPr>
            <w:tcW w:w="1314" w:type="dxa"/>
            <w:vAlign w:val="center"/>
          </w:tcPr>
          <w:p>
            <w:pPr>
              <w:widowControl w:val="0"/>
              <w:jc w:val="center"/>
            </w:pPr>
            <w:r>
              <w:rPr>
                <w:rFonts w:hint="eastAsia"/>
              </w:rPr>
              <w:t>Ⅳ</w:t>
            </w:r>
          </w:p>
        </w:tc>
        <w:tc>
          <w:tcPr>
            <w:tcW w:w="1315" w:type="dxa"/>
            <w:vAlign w:val="center"/>
          </w:tcPr>
          <w:p>
            <w:pPr>
              <w:widowControl w:val="0"/>
              <w:jc w:val="center"/>
            </w:pPr>
            <w:r>
              <w:rPr>
                <w:rFonts w:hint="eastAsia"/>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pPr>
              <w:widowControl w:val="0"/>
              <w:jc w:val="center"/>
            </w:pPr>
            <w:r>
              <w:rPr>
                <w:rFonts w:hint="eastAsia"/>
              </w:rPr>
              <w:t>K值</w:t>
            </w:r>
          </w:p>
        </w:tc>
        <w:tc>
          <w:tcPr>
            <w:tcW w:w="1314" w:type="dxa"/>
            <w:vAlign w:val="center"/>
          </w:tcPr>
          <w:p>
            <w:pPr>
              <w:widowControl w:val="0"/>
              <w:jc w:val="center"/>
            </w:pPr>
            <w:r>
              <w:rPr>
                <w:rFonts w:hint="eastAsia"/>
              </w:rPr>
              <w:t>0.85</w:t>
            </w:r>
          </w:p>
        </w:tc>
        <w:tc>
          <w:tcPr>
            <w:tcW w:w="1314" w:type="dxa"/>
            <w:vAlign w:val="center"/>
          </w:tcPr>
          <w:p>
            <w:pPr>
              <w:widowControl w:val="0"/>
              <w:jc w:val="center"/>
            </w:pPr>
            <w:r>
              <w:rPr>
                <w:rFonts w:hint="eastAsia"/>
              </w:rPr>
              <w:t>0.90</w:t>
            </w:r>
          </w:p>
        </w:tc>
        <w:tc>
          <w:tcPr>
            <w:tcW w:w="1314" w:type="dxa"/>
            <w:vAlign w:val="center"/>
          </w:tcPr>
          <w:p>
            <w:pPr>
              <w:widowControl w:val="0"/>
              <w:jc w:val="center"/>
            </w:pPr>
            <w:r>
              <w:rPr>
                <w:rFonts w:hint="eastAsia"/>
              </w:rPr>
              <w:t>1.00</w:t>
            </w:r>
          </w:p>
        </w:tc>
        <w:tc>
          <w:tcPr>
            <w:tcW w:w="1314" w:type="dxa"/>
            <w:vAlign w:val="center"/>
          </w:tcPr>
          <w:p>
            <w:pPr>
              <w:widowControl w:val="0"/>
              <w:jc w:val="center"/>
            </w:pPr>
            <w:r>
              <w:rPr>
                <w:rFonts w:hint="eastAsia"/>
              </w:rPr>
              <w:t>1.10</w:t>
            </w:r>
          </w:p>
        </w:tc>
        <w:tc>
          <w:tcPr>
            <w:tcW w:w="1315" w:type="dxa"/>
            <w:vAlign w:val="center"/>
          </w:tcPr>
          <w:p>
            <w:pPr>
              <w:widowControl w:val="0"/>
              <w:jc w:val="center"/>
            </w:pPr>
            <w:r>
              <w:rPr>
                <w:rFonts w:hint="eastAsia"/>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pPr>
              <w:widowControl w:val="0"/>
              <w:jc w:val="center"/>
            </w:pPr>
            <w:r>
              <w:rPr>
                <w:rFonts w:hint="eastAsia"/>
              </w:rPr>
              <w:t>室外天然光设计照度值Es （lx）</w:t>
            </w:r>
          </w:p>
        </w:tc>
        <w:tc>
          <w:tcPr>
            <w:tcW w:w="1314" w:type="dxa"/>
            <w:vAlign w:val="center"/>
          </w:tcPr>
          <w:p>
            <w:pPr>
              <w:widowControl w:val="0"/>
              <w:ind w:firstLine="105" w:firstLineChars="50"/>
              <w:jc w:val="center"/>
            </w:pPr>
            <w:r>
              <w:rPr>
                <w:rFonts w:hint="eastAsia"/>
              </w:rPr>
              <w:t>18000</w:t>
            </w:r>
          </w:p>
        </w:tc>
        <w:tc>
          <w:tcPr>
            <w:tcW w:w="1314" w:type="dxa"/>
            <w:vAlign w:val="center"/>
          </w:tcPr>
          <w:p>
            <w:pPr>
              <w:widowControl w:val="0"/>
              <w:ind w:firstLine="105" w:firstLineChars="50"/>
              <w:jc w:val="center"/>
            </w:pPr>
            <w:r>
              <w:rPr>
                <w:rFonts w:hint="eastAsia"/>
              </w:rPr>
              <w:t>16500</w:t>
            </w:r>
          </w:p>
        </w:tc>
        <w:tc>
          <w:tcPr>
            <w:tcW w:w="1314" w:type="dxa"/>
            <w:vAlign w:val="center"/>
          </w:tcPr>
          <w:p>
            <w:pPr>
              <w:widowControl w:val="0"/>
              <w:ind w:firstLine="105" w:firstLineChars="50"/>
              <w:jc w:val="center"/>
            </w:pPr>
            <w:r>
              <w:rPr>
                <w:rFonts w:hint="eastAsia"/>
              </w:rPr>
              <w:t>15000</w:t>
            </w:r>
          </w:p>
        </w:tc>
        <w:tc>
          <w:tcPr>
            <w:tcW w:w="1314" w:type="dxa"/>
            <w:vAlign w:val="center"/>
          </w:tcPr>
          <w:p>
            <w:pPr>
              <w:widowControl w:val="0"/>
              <w:ind w:firstLine="105" w:firstLineChars="50"/>
              <w:jc w:val="center"/>
            </w:pPr>
            <w:r>
              <w:rPr>
                <w:rFonts w:hint="eastAsia"/>
              </w:rPr>
              <w:t>13500</w:t>
            </w:r>
          </w:p>
        </w:tc>
        <w:tc>
          <w:tcPr>
            <w:tcW w:w="1315" w:type="dxa"/>
            <w:vAlign w:val="center"/>
          </w:tcPr>
          <w:p>
            <w:pPr>
              <w:widowControl w:val="0"/>
              <w:ind w:firstLine="105" w:firstLineChars="50"/>
              <w:jc w:val="center"/>
            </w:pPr>
            <w:r>
              <w:rPr>
                <w:rFonts w:hint="eastAsia"/>
              </w:rPr>
              <w:t>12000</w:t>
            </w:r>
          </w:p>
        </w:tc>
      </w:tr>
    </w:tbl>
    <w:p>
      <w:pPr>
        <w:rPr>
          <w:lang w:val="en-US"/>
        </w:rPr>
      </w:pPr>
    </w:p>
    <w:p>
      <w:pPr>
        <w:pStyle w:val="2"/>
      </w:pPr>
      <w:bookmarkStart w:id="25" w:name="_Toc275165382"/>
      <w:bookmarkStart w:id="26" w:name="_Toc290149054"/>
      <w:bookmarkStart w:id="27" w:name="_Toc264043625"/>
      <w:bookmarkStart w:id="28" w:name="_Toc290209312"/>
      <w:bookmarkStart w:id="29" w:name="_Toc290209336"/>
      <w:bookmarkStart w:id="30" w:name="_Toc264569232"/>
      <w:bookmarkStart w:id="31" w:name="_Toc312399791"/>
      <w:r>
        <w:rPr>
          <w:rFonts w:hint="eastAsia"/>
        </w:rPr>
        <w:t>采光分析</w:t>
      </w:r>
      <w:r>
        <w:t>概述</w:t>
      </w:r>
      <w:bookmarkEnd w:id="25"/>
      <w:bookmarkEnd w:id="26"/>
      <w:bookmarkEnd w:id="27"/>
      <w:bookmarkEnd w:id="28"/>
      <w:bookmarkEnd w:id="29"/>
      <w:bookmarkEnd w:id="30"/>
      <w:bookmarkEnd w:id="31"/>
    </w:p>
    <w:p>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r>
        <w:rPr>
          <w:rFonts w:hint="eastAsia"/>
        </w:rPr>
        <w:t>计算原理</w:t>
      </w:r>
    </w:p>
    <w:p>
      <w:pPr>
        <w:ind w:firstLine="420" w:firstLineChars="200"/>
        <w:rPr>
          <w:rFonts w:ascii="宋体" w:hAnsi="宋体"/>
          <w:lang w:val="en-US"/>
        </w:rPr>
      </w:pPr>
      <w:r>
        <w:rPr>
          <w:rFonts w:hint="eastAsia"/>
        </w:rPr>
        <w:t>根据</w:t>
      </w:r>
      <w:bookmarkStart w:id="32" w:name="标准名称2"/>
      <w:r>
        <w:t>《绿色建筑评价标准》GB/T 50378-2019</w:t>
      </w:r>
      <w:bookmarkEnd w:id="32"/>
      <w:r>
        <w:rPr>
          <w:rFonts w:hint="eastAsia"/>
        </w:rPr>
        <w:t>的</w:t>
      </w:r>
      <w:r>
        <w:t>要求，为了求得满足采光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pPr>
        <w:ind w:firstLine="420" w:firstLineChars="200"/>
        <w:rPr>
          <w:b/>
        </w:rPr>
      </w:pPr>
      <w:r>
        <w:rPr>
          <w:rFonts w:hint="eastAsia"/>
          <w:b/>
        </w:rPr>
        <w:t>1.</w:t>
      </w:r>
      <w:r>
        <w:rPr>
          <w:b/>
        </w:rPr>
        <w:t>采光系数</w:t>
      </w:r>
    </w:p>
    <w:p>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r>
        <w:t>室内某一点的采光系数C，计算公式为：</w:t>
      </w:r>
    </w:p>
    <w:p>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81405" cy="453390"/>
            <wp:effectExtent l="0" t="0" r="0" b="317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7"/>
                    <a:stretch>
                      <a:fillRect/>
                    </a:stretch>
                  </pic:blipFill>
                  <pic:spPr>
                    <a:xfrm>
                      <a:off x="0" y="0"/>
                      <a:ext cx="1081405" cy="453390"/>
                    </a:xfrm>
                    <a:prstGeom prst="rect">
                      <a:avLst/>
                    </a:prstGeom>
                    <a:noFill/>
                    <a:ln>
                      <a:noFill/>
                    </a:ln>
                  </pic:spPr>
                </pic:pic>
              </a:graphicData>
            </a:graphic>
          </wp:inline>
        </w:drawing>
      </w:r>
    </w:p>
    <w:p>
      <w:pPr>
        <w:ind w:left="420" w:leftChars="200"/>
      </w:pPr>
      <w:r>
        <w:t>式中:En—室内照度</w:t>
      </w:r>
      <w:r>
        <w:rPr>
          <w:rFonts w:hint="eastAsia"/>
        </w:rPr>
        <w:t>，lx</w:t>
      </w:r>
      <w:r>
        <w:t>；</w:t>
      </w:r>
    </w:p>
    <w:p>
      <w:pPr>
        <w:ind w:firstLine="840" w:firstLineChars="400"/>
      </w:pPr>
      <w:r>
        <w:t>Ew—室外照度，</w:t>
      </w:r>
      <w:r>
        <w:rPr>
          <w:rFonts w:hint="eastAsia"/>
        </w:rPr>
        <w:t>lx</w:t>
      </w:r>
      <w:r>
        <w:t>。</w:t>
      </w:r>
    </w:p>
    <w:p>
      <w:pPr>
        <w:ind w:firstLine="420" w:firstLineChars="200"/>
        <w:rPr>
          <w:b/>
        </w:rPr>
      </w:pPr>
      <w:r>
        <w:rPr>
          <w:rFonts w:hint="eastAsia"/>
          <w:b/>
        </w:rPr>
        <w:t>2.</w:t>
      </w:r>
      <w:r>
        <w:rPr>
          <w:b/>
        </w:rPr>
        <w:t>采光系数标准值</w:t>
      </w:r>
    </w:p>
    <w:p>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ind w:firstLine="420" w:firstLineChars="200"/>
        <w:rPr>
          <w:b/>
        </w:rPr>
      </w:pPr>
      <w:r>
        <w:rPr>
          <w:rFonts w:hint="eastAsia"/>
          <w:b/>
        </w:rPr>
        <w:t>3.</w:t>
      </w:r>
      <w:r>
        <w:rPr>
          <w:b/>
        </w:rPr>
        <w:t>采光系数达标率</w:t>
      </w:r>
    </w:p>
    <w:p>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pPr>
        <w:pStyle w:val="4"/>
      </w:pPr>
      <w:bookmarkStart w:id="33" w:name="_Toc264569237"/>
      <w:bookmarkStart w:id="34" w:name="_Toc290209341"/>
      <w:bookmarkStart w:id="35" w:name="_Toc312399796"/>
      <w:bookmarkStart w:id="36" w:name="_Toc290209317"/>
      <w:bookmarkStart w:id="37" w:name="_Toc264043630"/>
      <w:bookmarkStart w:id="38" w:name="_Toc275165387"/>
      <w:bookmarkStart w:id="39" w:name="_Toc290149059"/>
      <w:r>
        <w:t>分析软件</w:t>
      </w:r>
      <w:bookmarkEnd w:id="33"/>
      <w:bookmarkEnd w:id="34"/>
      <w:bookmarkEnd w:id="35"/>
      <w:bookmarkEnd w:id="36"/>
      <w:bookmarkEnd w:id="37"/>
      <w:bookmarkEnd w:id="38"/>
      <w:bookmarkEnd w:id="39"/>
    </w:p>
    <w:p>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w:t>
      </w:r>
      <w:bookmarkStart w:id="40" w:name="标准名称3"/>
      <w:r>
        <w:t>《绿色建筑评价标准》GB/T 50378-2019</w:t>
      </w:r>
      <w:bookmarkEnd w:id="40"/>
      <w:r>
        <w:t>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2"/>
      </w:pPr>
      <w:r>
        <w:rPr>
          <w:rFonts w:hint="eastAsia"/>
        </w:rPr>
        <w:t>采光计算</w:t>
      </w:r>
      <w:r>
        <w:t>参数</w:t>
      </w:r>
      <w:r>
        <w:rPr>
          <w:rFonts w:hint="eastAsia"/>
        </w:rPr>
        <w:t>取值</w:t>
      </w:r>
    </w:p>
    <w:p>
      <w:pPr>
        <w:pStyle w:val="4"/>
      </w:pPr>
      <w:bookmarkStart w:id="41" w:name="_Toc312399795"/>
      <w:bookmarkStart w:id="42" w:name="_Toc264569236"/>
      <w:bookmarkStart w:id="43" w:name="_Toc290209340"/>
      <w:bookmarkStart w:id="44" w:name="_Toc264043629"/>
      <w:bookmarkStart w:id="45" w:name="_Toc275165386"/>
      <w:bookmarkStart w:id="46" w:name="_Toc290149058"/>
      <w:bookmarkStart w:id="47" w:name="_Toc290209316"/>
      <w:r>
        <w:t>模拟</w:t>
      </w:r>
      <w:bookmarkEnd w:id="41"/>
      <w:bookmarkEnd w:id="42"/>
      <w:bookmarkEnd w:id="43"/>
      <w:bookmarkEnd w:id="44"/>
      <w:bookmarkEnd w:id="45"/>
      <w:bookmarkEnd w:id="46"/>
      <w:bookmarkEnd w:id="47"/>
      <w:r>
        <w:rPr>
          <w:rFonts w:hint="eastAsia"/>
        </w:rPr>
        <w:t>分析条件说明</w:t>
      </w:r>
    </w:p>
    <w:p>
      <w:pPr>
        <w:ind w:left="630" w:leftChars="300"/>
      </w:pPr>
      <w:r>
        <w:rPr>
          <w:rFonts w:hint="eastAsia"/>
          <w:b/>
        </w:rPr>
        <w:t>天空模型</w:t>
      </w:r>
      <w:r>
        <w:rPr>
          <w:rFonts w:hint="eastAsia"/>
        </w:rPr>
        <w:t>：</w:t>
      </w:r>
      <w:r>
        <w:t>CIE全阴天天空。</w:t>
      </w:r>
    </w:p>
    <w:p>
      <w:pPr>
        <w:ind w:left="630" w:leftChars="300"/>
      </w:pPr>
      <w:r>
        <w:rPr>
          <w:rFonts w:hint="eastAsia"/>
          <w:b/>
        </w:rPr>
        <w:t>分析参考平面</w:t>
      </w:r>
      <w:r>
        <w:rPr>
          <w:rFonts w:hint="eastAsia"/>
        </w:rPr>
        <w:t>：功能房间取距地面</w:t>
      </w:r>
      <w:bookmarkStart w:id="48" w:name="分析面高"/>
      <w:r>
        <w:t>0.75</w:t>
      </w:r>
      <w:bookmarkEnd w:id="48"/>
      <w:r>
        <w:rPr>
          <w:rFonts w:hint="eastAsia"/>
        </w:rPr>
        <w:t>m 。</w:t>
      </w:r>
    </w:p>
    <w:p>
      <w:pPr>
        <w:ind w:left="630" w:leftChars="300"/>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jc w:val="center"/>
              <w:rPr>
                <w:szCs w:val="18"/>
              </w:rPr>
            </w:pPr>
            <w:r>
              <w:rPr>
                <w:rFonts w:hint="eastAsia"/>
                <w:szCs w:val="18"/>
              </w:rPr>
              <w:t>房间面积(m2)</w:t>
            </w:r>
          </w:p>
        </w:tc>
        <w:tc>
          <w:tcPr>
            <w:tcW w:w="3272" w:type="dxa"/>
            <w:shd w:val="clear" w:color="auto" w:fill="E6E6E6"/>
            <w:vAlign w:val="center"/>
          </w:tcPr>
          <w:p>
            <w:pPr>
              <w:jc w:val="cente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49" w:name="网格划分小房间面积"/>
            <w:r>
              <w:rPr>
                <w:szCs w:val="18"/>
              </w:rPr>
              <w:t>10</w:t>
            </w:r>
            <w:bookmarkEnd w:id="49"/>
          </w:p>
        </w:tc>
        <w:tc>
          <w:tcPr>
            <w:tcW w:w="3272" w:type="dxa"/>
            <w:shd w:val="clear" w:color="auto" w:fill="auto"/>
            <w:vAlign w:val="center"/>
          </w:tcPr>
          <w:p>
            <w:pPr>
              <w:jc w:val="center"/>
              <w:rPr>
                <w:szCs w:val="18"/>
              </w:rPr>
            </w:pPr>
            <w:bookmarkStart w:id="50" w:name="小房间网格大小"/>
            <w:r>
              <w:rPr>
                <w:szCs w:val="18"/>
              </w:rPr>
              <w:t>0.25</w:t>
            </w:r>
            <w:bookmarkEnd w:id="5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bookmarkStart w:id="51" w:name="网格划分房间面积"/>
            <w:r>
              <w:rPr>
                <w:szCs w:val="18"/>
              </w:rPr>
              <w:t>10~100</w:t>
            </w:r>
            <w:bookmarkEnd w:id="51"/>
          </w:p>
        </w:tc>
        <w:tc>
          <w:tcPr>
            <w:tcW w:w="3272" w:type="dxa"/>
            <w:shd w:val="clear" w:color="auto" w:fill="auto"/>
            <w:vAlign w:val="center"/>
          </w:tcPr>
          <w:p>
            <w:pPr>
              <w:jc w:val="center"/>
              <w:rPr>
                <w:szCs w:val="18"/>
              </w:rPr>
            </w:pPr>
            <w:bookmarkStart w:id="52" w:name="网格大小"/>
            <w:r>
              <w:rPr>
                <w:szCs w:val="18"/>
              </w:rPr>
              <w:t>0.50</w:t>
            </w:r>
            <w:bookmarkEnd w:id="5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53" w:name="网格划分大房间面积"/>
            <w:r>
              <w:rPr>
                <w:szCs w:val="18"/>
              </w:rPr>
              <w:t>100</w:t>
            </w:r>
            <w:bookmarkEnd w:id="53"/>
          </w:p>
        </w:tc>
        <w:tc>
          <w:tcPr>
            <w:tcW w:w="3272" w:type="dxa"/>
            <w:shd w:val="clear" w:color="auto" w:fill="auto"/>
            <w:vAlign w:val="center"/>
          </w:tcPr>
          <w:p>
            <w:pPr>
              <w:jc w:val="center"/>
              <w:rPr>
                <w:szCs w:val="18"/>
              </w:rPr>
            </w:pPr>
            <w:bookmarkStart w:id="54" w:name="大房间网格大小"/>
            <w:r>
              <w:rPr>
                <w:szCs w:val="18"/>
              </w:rPr>
              <w:t>1.00</w:t>
            </w:r>
            <w:bookmarkEnd w:id="54"/>
          </w:p>
        </w:tc>
      </w:tr>
    </w:tbl>
    <w:p>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pPr>
        <w:ind w:left="630" w:leftChars="300"/>
      </w:pPr>
      <w:r>
        <w:rPr>
          <w:rFonts w:hint="eastAsia"/>
          <w:b/>
        </w:rPr>
        <w:t>室内环境：</w:t>
      </w:r>
      <w:r>
        <w:rPr>
          <w:rFonts w:hint="eastAsia"/>
        </w:rPr>
        <w:t>忽略室内家具类设施的影响，只考虑永久固定的顶棚、地面和墙面。</w:t>
      </w:r>
    </w:p>
    <w:p>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2258"/>
        <w:gridCol w:w="16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3" w:type="dxa"/>
            <w:gridSpan w:val="3"/>
            <w:tcBorders>
              <w:top w:val="single" w:color="auto" w:sz="12" w:space="0"/>
              <w:bottom w:val="single" w:color="auto" w:sz="4" w:space="0"/>
            </w:tcBorders>
            <w:shd w:val="clear" w:color="auto" w:fill="E6E6E6"/>
            <w:vAlign w:val="center"/>
          </w:tcPr>
          <w:p>
            <w:pPr>
              <w:jc w:val="center"/>
              <w:rPr>
                <w:rFonts w:ascii="宋体" w:hAnsi="宋体"/>
                <w:sz w:val="18"/>
                <w:lang w:val="en-US"/>
              </w:rPr>
            </w:pPr>
            <w:r>
              <w:rPr>
                <w:rFonts w:hint="eastAsia"/>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bottom w:val="single" w:color="auto" w:sz="4" w:space="0"/>
            </w:tcBorders>
            <w:shd w:val="clear" w:color="auto" w:fill="E6E6E6"/>
            <w:vAlign w:val="center"/>
          </w:tcPr>
          <w:p>
            <w:pPr>
              <w:jc w:val="center"/>
              <w:rPr>
                <w:szCs w:val="18"/>
              </w:rPr>
            </w:pPr>
            <w:r>
              <w:rPr>
                <w:rFonts w:hint="eastAsia"/>
                <w:szCs w:val="18"/>
              </w:rPr>
              <w:t>部位</w:t>
            </w:r>
          </w:p>
        </w:tc>
        <w:tc>
          <w:tcPr>
            <w:tcW w:w="2258" w:type="dxa"/>
            <w:tcBorders>
              <w:top w:val="single" w:color="auto" w:sz="4" w:space="0"/>
              <w:bottom w:val="single" w:color="auto" w:sz="4" w:space="0"/>
            </w:tcBorders>
            <w:shd w:val="clear" w:color="auto" w:fill="E6E6E6"/>
            <w:vAlign w:val="center"/>
          </w:tcPr>
          <w:p>
            <w:pPr>
              <w:jc w:val="center"/>
            </w:pPr>
            <w:r>
              <w:rPr>
                <w:rFonts w:hint="eastAsia"/>
              </w:rPr>
              <w:t>反射比材料设计取值</w:t>
            </w:r>
          </w:p>
        </w:tc>
        <w:tc>
          <w:tcPr>
            <w:tcW w:w="1664" w:type="dxa"/>
            <w:tcBorders>
              <w:top w:val="single" w:color="auto" w:sz="4" w:space="0"/>
              <w:bottom w:val="single" w:color="auto" w:sz="4" w:space="0"/>
            </w:tcBorders>
            <w:shd w:val="clear" w:color="auto" w:fill="E6E6E6"/>
            <w:vAlign w:val="center"/>
          </w:tcPr>
          <w:p>
            <w:pPr>
              <w:jc w:val="center"/>
            </w:pPr>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pPr>
              <w:jc w:val="center"/>
              <w:rPr>
                <w:szCs w:val="18"/>
              </w:rPr>
            </w:pPr>
            <w:r>
              <w:rPr>
                <w:rFonts w:hint="eastAsia"/>
                <w:szCs w:val="18"/>
              </w:rPr>
              <w:t>顶棚</w:t>
            </w:r>
          </w:p>
        </w:tc>
        <w:tc>
          <w:tcPr>
            <w:tcW w:w="2258" w:type="dxa"/>
            <w:tcBorders>
              <w:top w:val="single" w:color="auto" w:sz="4" w:space="0"/>
            </w:tcBorders>
            <w:shd w:val="clear" w:color="auto" w:fill="auto"/>
            <w:vAlign w:val="center"/>
          </w:tcPr>
          <w:p>
            <w:pPr>
              <w:jc w:val="center"/>
            </w:pPr>
            <w:bookmarkStart w:id="55" w:name="顶棚反射比"/>
            <w:r>
              <w:t>0.75</w:t>
            </w:r>
            <w:bookmarkEnd w:id="55"/>
          </w:p>
        </w:tc>
        <w:tc>
          <w:tcPr>
            <w:tcW w:w="1664" w:type="dxa"/>
            <w:tcBorders>
              <w:top w:val="single" w:color="auto" w:sz="4" w:space="0"/>
            </w:tcBorders>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pPr>
              <w:jc w:val="center"/>
              <w:rPr>
                <w:szCs w:val="18"/>
              </w:rPr>
            </w:pPr>
            <w:r>
              <w:rPr>
                <w:rFonts w:hint="eastAsia"/>
                <w:szCs w:val="18"/>
              </w:rPr>
              <w:t>地面</w:t>
            </w:r>
          </w:p>
        </w:tc>
        <w:tc>
          <w:tcPr>
            <w:tcW w:w="2258" w:type="dxa"/>
            <w:tcBorders>
              <w:top w:val="single" w:color="auto" w:sz="4" w:space="0"/>
            </w:tcBorders>
            <w:shd w:val="clear" w:color="auto" w:fill="auto"/>
            <w:vAlign w:val="center"/>
          </w:tcPr>
          <w:p>
            <w:pPr>
              <w:jc w:val="center"/>
            </w:pPr>
            <w:bookmarkStart w:id="56" w:name="地面反射比"/>
            <w:r>
              <w:t>0.30</w:t>
            </w:r>
            <w:bookmarkEnd w:id="56"/>
          </w:p>
        </w:tc>
        <w:tc>
          <w:tcPr>
            <w:tcW w:w="1664" w:type="dxa"/>
            <w:tcBorders>
              <w:top w:val="single" w:color="auto" w:sz="4" w:space="0"/>
            </w:tcBorders>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pPr>
              <w:jc w:val="center"/>
              <w:rPr>
                <w:szCs w:val="18"/>
              </w:rPr>
            </w:pPr>
            <w:r>
              <w:rPr>
                <w:rFonts w:hint="eastAsia"/>
                <w:szCs w:val="18"/>
              </w:rPr>
              <w:t>墙面</w:t>
            </w:r>
          </w:p>
        </w:tc>
        <w:tc>
          <w:tcPr>
            <w:tcW w:w="2258" w:type="dxa"/>
            <w:tcBorders>
              <w:top w:val="single" w:color="auto" w:sz="4" w:space="0"/>
            </w:tcBorders>
            <w:shd w:val="clear" w:color="auto" w:fill="auto"/>
            <w:vAlign w:val="center"/>
          </w:tcPr>
          <w:p>
            <w:pPr>
              <w:jc w:val="center"/>
            </w:pPr>
            <w:bookmarkStart w:id="57" w:name="墙面反射比"/>
            <w:r>
              <w:t>0.60</w:t>
            </w:r>
            <w:bookmarkEnd w:id="57"/>
          </w:p>
        </w:tc>
        <w:tc>
          <w:tcPr>
            <w:tcW w:w="1664" w:type="dxa"/>
            <w:tcBorders>
              <w:top w:val="single" w:color="auto" w:sz="4" w:space="0"/>
            </w:tcBorders>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pPr>
              <w:jc w:val="center"/>
              <w:rPr>
                <w:szCs w:val="18"/>
              </w:rPr>
            </w:pPr>
            <w:r>
              <w:rPr>
                <w:rFonts w:hint="eastAsia"/>
                <w:szCs w:val="18"/>
              </w:rPr>
              <w:t>外表面</w:t>
            </w:r>
          </w:p>
        </w:tc>
        <w:tc>
          <w:tcPr>
            <w:tcW w:w="2258" w:type="dxa"/>
            <w:tcBorders>
              <w:top w:val="single" w:color="auto" w:sz="4" w:space="0"/>
            </w:tcBorders>
            <w:shd w:val="clear" w:color="auto" w:fill="auto"/>
            <w:vAlign w:val="center"/>
          </w:tcPr>
          <w:p>
            <w:pPr>
              <w:jc w:val="center"/>
            </w:pPr>
            <w:bookmarkStart w:id="58" w:name="外表面反射比"/>
            <w:r>
              <w:t>0.30</w:t>
            </w:r>
            <w:bookmarkEnd w:id="58"/>
          </w:p>
        </w:tc>
        <w:tc>
          <w:tcPr>
            <w:tcW w:w="1664" w:type="dxa"/>
            <w:tcBorders>
              <w:top w:val="single" w:color="auto" w:sz="4" w:space="0"/>
            </w:tcBorders>
            <w:shd w:val="clear" w:color="auto" w:fill="auto"/>
            <w:vAlign w:val="center"/>
          </w:tcPr>
          <w:p>
            <w:pPr>
              <w:jc w:val="center"/>
            </w:pPr>
          </w:p>
        </w:tc>
      </w:tr>
    </w:tbl>
    <w:p>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4"/>
      </w:pPr>
      <w:bookmarkStart w:id="59" w:name="_Toc422822724"/>
      <w:r>
        <w:rPr>
          <w:rFonts w:hint="eastAsia"/>
        </w:rPr>
        <w:t>门窗类型参数</w:t>
      </w:r>
      <w:bookmarkEnd w:id="59"/>
    </w:p>
    <w:p>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pPr>
        <w:pStyle w:val="3"/>
        <w:ind w:firstLine="0" w:firstLineChars="0"/>
        <w:rPr>
          <w:sz w:val="18"/>
          <w:szCs w:val="18"/>
          <w:lang w:val="en-US"/>
        </w:rPr>
      </w:pPr>
    </w:p>
    <w:p>
      <w:pPr>
        <w:pStyle w:val="5"/>
      </w:pPr>
      <w:bookmarkStart w:id="60" w:name="窗"/>
      <w:r>
        <w:t>普通</w:t>
      </w:r>
      <w:r>
        <w:rPr>
          <w:rFonts w:hint="eastAsia"/>
        </w:rPr>
        <w:t>窗</w:t>
      </w:r>
    </w:p>
    <w:bookmarkEnd w:id="60"/>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C1221</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双层钢窗</w:t>
            </w:r>
          </w:p>
        </w:tc>
        <w:tc>
          <w:tcPr>
            <w:vAlign w:val="center"/>
          </w:tcPr>
          <w:p>
            <w:pPr>
              <w:jc w:val="center"/>
              <w:rPr>
                <w:sz w:val="18"/>
                <w:szCs w:val="18"/>
              </w:rPr>
            </w:pPr>
            <w:r>
              <w:rPr>
                <w:sz w:val="18"/>
                <w:szCs w:val="18"/>
              </w:rPr>
              <w:t>夹层玻璃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C1521</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双层钢窗</w:t>
            </w:r>
          </w:p>
        </w:tc>
        <w:tc>
          <w:tcPr>
            <w:vAlign w:val="center"/>
          </w:tcPr>
          <w:p>
            <w:pPr>
              <w:jc w:val="center"/>
              <w:rPr>
                <w:sz w:val="18"/>
                <w:szCs w:val="18"/>
              </w:rPr>
            </w:pPr>
            <w:r>
              <w:rPr>
                <w:sz w:val="18"/>
                <w:szCs w:val="18"/>
              </w:rPr>
              <w:t>夹层玻璃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C1621</w:t>
            </w:r>
          </w:p>
        </w:tc>
        <w:tc>
          <w:tcPr>
            <w:vAlign w:val="center"/>
          </w:tcPr>
          <w:p>
            <w:pPr>
              <w:jc w:val="center"/>
              <w:rPr>
                <w:sz w:val="18"/>
                <w:szCs w:val="18"/>
              </w:rPr>
            </w:pPr>
            <w:r>
              <w:rPr>
                <w:sz w:val="18"/>
                <w:szCs w:val="18"/>
              </w:rPr>
              <w:t>1550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双层钢窗</w:t>
            </w:r>
          </w:p>
        </w:tc>
        <w:tc>
          <w:tcPr>
            <w:vAlign w:val="center"/>
          </w:tcPr>
          <w:p>
            <w:pPr>
              <w:jc w:val="center"/>
              <w:rPr>
                <w:sz w:val="18"/>
                <w:szCs w:val="18"/>
              </w:rPr>
            </w:pPr>
            <w:r>
              <w:rPr>
                <w:sz w:val="18"/>
                <w:szCs w:val="18"/>
              </w:rPr>
              <w:t>夹层玻璃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C1821</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双层钢窗</w:t>
            </w:r>
          </w:p>
        </w:tc>
        <w:tc>
          <w:tcPr>
            <w:vAlign w:val="center"/>
          </w:tcPr>
          <w:p>
            <w:pPr>
              <w:jc w:val="center"/>
              <w:rPr>
                <w:sz w:val="18"/>
                <w:szCs w:val="18"/>
              </w:rPr>
            </w:pPr>
            <w:r>
              <w:rPr>
                <w:sz w:val="18"/>
                <w:szCs w:val="18"/>
              </w:rPr>
              <w:t>夹层玻璃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C2021</w:t>
            </w:r>
          </w:p>
        </w:tc>
        <w:tc>
          <w:tcPr>
            <w:vAlign w:val="center"/>
          </w:tcPr>
          <w:p>
            <w:pPr>
              <w:jc w:val="center"/>
              <w:rPr>
                <w:sz w:val="18"/>
                <w:szCs w:val="18"/>
              </w:rPr>
            </w:pPr>
            <w:r>
              <w:rPr>
                <w:sz w:val="18"/>
                <w:szCs w:val="18"/>
              </w:rPr>
              <w:t>2000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双层钢窗</w:t>
            </w:r>
          </w:p>
        </w:tc>
        <w:tc>
          <w:tcPr>
            <w:vAlign w:val="center"/>
          </w:tcPr>
          <w:p>
            <w:pPr>
              <w:jc w:val="center"/>
              <w:rPr>
                <w:sz w:val="18"/>
                <w:szCs w:val="18"/>
              </w:rPr>
            </w:pPr>
            <w:r>
              <w:rPr>
                <w:sz w:val="18"/>
                <w:szCs w:val="18"/>
              </w:rPr>
              <w:t>夹层玻璃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C2121</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双层钢窗</w:t>
            </w:r>
          </w:p>
        </w:tc>
        <w:tc>
          <w:tcPr>
            <w:vAlign w:val="center"/>
          </w:tcPr>
          <w:p>
            <w:pPr>
              <w:jc w:val="center"/>
              <w:rPr>
                <w:sz w:val="18"/>
                <w:szCs w:val="18"/>
              </w:rPr>
            </w:pPr>
            <w:r>
              <w:rPr>
                <w:sz w:val="18"/>
                <w:szCs w:val="18"/>
              </w:rPr>
              <w:t>夹层玻璃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C2221</w:t>
            </w:r>
          </w:p>
        </w:tc>
        <w:tc>
          <w:tcPr>
            <w:vAlign w:val="center"/>
          </w:tcPr>
          <w:p>
            <w:pPr>
              <w:jc w:val="center"/>
              <w:rPr>
                <w:sz w:val="18"/>
                <w:szCs w:val="18"/>
              </w:rPr>
            </w:pPr>
            <w:r>
              <w:rPr>
                <w:sz w:val="18"/>
                <w:szCs w:val="18"/>
              </w:rPr>
              <w:t>2200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双层钢窗</w:t>
            </w:r>
          </w:p>
        </w:tc>
        <w:tc>
          <w:tcPr>
            <w:vAlign w:val="center"/>
          </w:tcPr>
          <w:p>
            <w:pPr>
              <w:jc w:val="center"/>
              <w:rPr>
                <w:sz w:val="18"/>
                <w:szCs w:val="18"/>
              </w:rPr>
            </w:pPr>
            <w:r>
              <w:rPr>
                <w:sz w:val="18"/>
                <w:szCs w:val="18"/>
              </w:rPr>
              <w:t>夹层玻璃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C2321</w:t>
            </w:r>
          </w:p>
        </w:tc>
        <w:tc>
          <w:tcPr>
            <w:vAlign w:val="center"/>
          </w:tcPr>
          <w:p>
            <w:pPr>
              <w:jc w:val="center"/>
              <w:rPr>
                <w:sz w:val="18"/>
                <w:szCs w:val="18"/>
              </w:rPr>
            </w:pPr>
            <w:r>
              <w:rPr>
                <w:sz w:val="18"/>
                <w:szCs w:val="18"/>
              </w:rPr>
              <w:t>2300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双层钢窗</w:t>
            </w:r>
          </w:p>
        </w:tc>
        <w:tc>
          <w:tcPr>
            <w:vAlign w:val="center"/>
          </w:tcPr>
          <w:p>
            <w:pPr>
              <w:jc w:val="center"/>
              <w:rPr>
                <w:sz w:val="18"/>
                <w:szCs w:val="18"/>
              </w:rPr>
            </w:pPr>
            <w:r>
              <w:rPr>
                <w:sz w:val="18"/>
                <w:szCs w:val="18"/>
              </w:rPr>
              <w:t>夹层玻璃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C2421</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双层钢窗</w:t>
            </w:r>
          </w:p>
        </w:tc>
        <w:tc>
          <w:tcPr>
            <w:vAlign w:val="center"/>
          </w:tcPr>
          <w:p>
            <w:pPr>
              <w:jc w:val="center"/>
              <w:rPr>
                <w:sz w:val="18"/>
                <w:szCs w:val="18"/>
              </w:rPr>
            </w:pPr>
            <w:r>
              <w:rPr>
                <w:sz w:val="18"/>
                <w:szCs w:val="18"/>
              </w:rPr>
              <w:t>夹层玻璃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C2621</w:t>
            </w:r>
          </w:p>
        </w:tc>
        <w:tc>
          <w:tcPr>
            <w:vAlign w:val="center"/>
          </w:tcPr>
          <w:p>
            <w:pPr>
              <w:jc w:val="center"/>
              <w:rPr>
                <w:sz w:val="18"/>
                <w:szCs w:val="18"/>
              </w:rPr>
            </w:pPr>
            <w:r>
              <w:rPr>
                <w:sz w:val="18"/>
                <w:szCs w:val="18"/>
              </w:rPr>
              <w:t>2650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双层钢窗</w:t>
            </w:r>
          </w:p>
        </w:tc>
        <w:tc>
          <w:tcPr>
            <w:vAlign w:val="center"/>
          </w:tcPr>
          <w:p>
            <w:pPr>
              <w:jc w:val="center"/>
              <w:rPr>
                <w:sz w:val="18"/>
                <w:szCs w:val="18"/>
              </w:rPr>
            </w:pPr>
            <w:r>
              <w:rPr>
                <w:sz w:val="18"/>
                <w:szCs w:val="18"/>
              </w:rPr>
              <w:t>夹层玻璃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C2721</w:t>
            </w:r>
          </w:p>
        </w:tc>
        <w:tc>
          <w:tcPr>
            <w:vAlign w:val="center"/>
          </w:tcPr>
          <w:p>
            <w:pPr>
              <w:jc w:val="center"/>
              <w:rPr>
                <w:sz w:val="18"/>
                <w:szCs w:val="18"/>
              </w:rPr>
            </w:pPr>
            <w:r>
              <w:rPr>
                <w:sz w:val="18"/>
                <w:szCs w:val="18"/>
              </w:rPr>
              <w:t>2800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双层钢窗</w:t>
            </w:r>
          </w:p>
        </w:tc>
        <w:tc>
          <w:tcPr>
            <w:vAlign w:val="center"/>
          </w:tcPr>
          <w:p>
            <w:pPr>
              <w:jc w:val="center"/>
              <w:rPr>
                <w:sz w:val="18"/>
                <w:szCs w:val="18"/>
              </w:rPr>
            </w:pPr>
            <w:r>
              <w:rPr>
                <w:sz w:val="18"/>
                <w:szCs w:val="18"/>
              </w:rPr>
              <w:t>夹层玻璃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C2821</w:t>
            </w:r>
          </w:p>
        </w:tc>
        <w:tc>
          <w:tcPr>
            <w:vAlign w:val="center"/>
          </w:tcPr>
          <w:p>
            <w:pPr>
              <w:jc w:val="center"/>
              <w:rPr>
                <w:sz w:val="18"/>
                <w:szCs w:val="18"/>
              </w:rPr>
            </w:pPr>
            <w:r>
              <w:rPr>
                <w:sz w:val="18"/>
                <w:szCs w:val="18"/>
              </w:rPr>
              <w:t>2800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双层钢窗</w:t>
            </w:r>
          </w:p>
        </w:tc>
        <w:tc>
          <w:tcPr>
            <w:vAlign w:val="center"/>
          </w:tcPr>
          <w:p>
            <w:pPr>
              <w:jc w:val="center"/>
              <w:rPr>
                <w:sz w:val="18"/>
                <w:szCs w:val="18"/>
              </w:rPr>
            </w:pPr>
            <w:r>
              <w:rPr>
                <w:sz w:val="18"/>
                <w:szCs w:val="18"/>
              </w:rPr>
              <w:t>夹层玻璃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C3121</w:t>
            </w:r>
          </w:p>
        </w:tc>
        <w:tc>
          <w:tcPr>
            <w:vAlign w:val="center"/>
          </w:tcPr>
          <w:p>
            <w:pPr>
              <w:jc w:val="center"/>
              <w:rPr>
                <w:sz w:val="18"/>
                <w:szCs w:val="18"/>
              </w:rPr>
            </w:pPr>
            <w:r>
              <w:rPr>
                <w:sz w:val="18"/>
                <w:szCs w:val="18"/>
              </w:rPr>
              <w:t>2600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双层铝窗</w:t>
            </w:r>
          </w:p>
        </w:tc>
        <w:tc>
          <w:tcPr>
            <w:vAlign w:val="center"/>
          </w:tcPr>
          <w:p>
            <w:pPr>
              <w:jc w:val="center"/>
              <w:rPr>
                <w:sz w:val="18"/>
                <w:szCs w:val="18"/>
              </w:rPr>
            </w:pPr>
            <w:r>
              <w:rPr>
                <w:sz w:val="18"/>
                <w:szCs w:val="18"/>
              </w:rPr>
              <w:t>夹层玻璃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C4821</w:t>
            </w:r>
          </w:p>
        </w:tc>
        <w:tc>
          <w:tcPr>
            <w:vAlign w:val="center"/>
          </w:tcPr>
          <w:p>
            <w:pPr>
              <w:jc w:val="center"/>
              <w:rPr>
                <w:sz w:val="18"/>
                <w:szCs w:val="18"/>
              </w:rPr>
            </w:pPr>
            <w:r>
              <w:rPr>
                <w:sz w:val="18"/>
                <w:szCs w:val="18"/>
              </w:rPr>
              <w:t>4500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双层钢窗</w:t>
            </w:r>
          </w:p>
        </w:tc>
        <w:tc>
          <w:tcPr>
            <w:vAlign w:val="center"/>
          </w:tcPr>
          <w:p>
            <w:pPr>
              <w:jc w:val="center"/>
              <w:rPr>
                <w:sz w:val="18"/>
                <w:szCs w:val="18"/>
              </w:rPr>
            </w:pPr>
            <w:r>
              <w:rPr>
                <w:sz w:val="18"/>
                <w:szCs w:val="18"/>
              </w:rPr>
              <w:t>夹层玻璃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C5221</w:t>
            </w:r>
          </w:p>
        </w:tc>
        <w:tc>
          <w:tcPr>
            <w:vAlign w:val="center"/>
          </w:tcPr>
          <w:p>
            <w:pPr>
              <w:jc w:val="center"/>
              <w:rPr>
                <w:sz w:val="18"/>
                <w:szCs w:val="18"/>
              </w:rPr>
            </w:pPr>
            <w:r>
              <w:rPr>
                <w:sz w:val="18"/>
                <w:szCs w:val="18"/>
              </w:rPr>
              <w:t>5200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双层钢窗</w:t>
            </w:r>
          </w:p>
        </w:tc>
        <w:tc>
          <w:tcPr>
            <w:vAlign w:val="center"/>
          </w:tcPr>
          <w:p>
            <w:pPr>
              <w:jc w:val="center"/>
              <w:rPr>
                <w:sz w:val="18"/>
                <w:szCs w:val="18"/>
              </w:rPr>
            </w:pPr>
            <w:r>
              <w:rPr>
                <w:sz w:val="18"/>
                <w:szCs w:val="18"/>
              </w:rPr>
              <w:t>夹层玻璃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bookmarkStart w:id="61" w:name="窗污染折减系数"/>
      <w:bookmarkEnd w:id="61"/>
    </w:p>
    <w:p>
      <w:pPr>
        <w:pStyle w:val="2"/>
      </w:pPr>
      <w:bookmarkStart w:id="62" w:name="_Toc422822729"/>
      <w:r>
        <w:rPr>
          <w:rFonts w:hint="eastAsia"/>
        </w:rPr>
        <w:t>分析统计结果</w:t>
      </w:r>
      <w:bookmarkEnd w:id="62"/>
    </w:p>
    <w:p>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shd w:val="clear" w:color="auto" w:fill="E6E6E6"/>
            <w:vAlign w:val="center"/>
          </w:tcPr>
          <w:p>
            <w:pPr>
              <w:jc w:val="center"/>
              <w:rPr>
                <w:sz w:val="18"/>
                <w:szCs w:val="18"/>
              </w:rPr>
            </w:pPr>
            <w:r>
              <w:rPr>
                <w:sz w:val="18"/>
                <w:szCs w:val="18"/>
              </w:rPr>
              <w:t>楼层</w:t>
            </w:r>
          </w:p>
        </w:tc>
        <w:tc>
          <w:tcPr>
            <w:gridSpan w:val="2"/>
            <w:shd w:val="clear" w:color="auto" w:fill="E6E6E6"/>
            <w:vAlign w:val="center"/>
          </w:tcPr>
          <w:p>
            <w:pPr>
              <w:jc w:val="center"/>
              <w:rPr>
                <w:sz w:val="18"/>
                <w:szCs w:val="18"/>
              </w:rPr>
            </w:pPr>
            <w:r>
              <w:rPr>
                <w:sz w:val="18"/>
                <w:szCs w:val="18"/>
              </w:rPr>
              <w:t>房间</w:t>
            </w:r>
          </w:p>
        </w:tc>
        <w:tc>
          <w:tcPr>
            <w:gridSpan w:val="2"/>
            <w:shd w:val="clear" w:color="auto" w:fill="E6E6E6"/>
            <w:vAlign w:val="center"/>
          </w:tcPr>
          <w:p>
            <w:pPr>
              <w:jc w:val="center"/>
              <w:rPr>
                <w:sz w:val="18"/>
                <w:szCs w:val="18"/>
              </w:rPr>
            </w:pPr>
            <w:r>
              <w:rPr>
                <w:sz w:val="18"/>
                <w:szCs w:val="18"/>
              </w:rPr>
              <w:t>对标功能</w:t>
            </w:r>
          </w:p>
        </w:tc>
        <w:tc>
          <w:tcPr>
            <w:gridSpan w:val="2"/>
            <w:shd w:val="clear" w:color="auto" w:fill="E6E6E6"/>
            <w:vAlign w:val="center"/>
          </w:tcPr>
          <w:p>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pPr>
              <w:jc w:val="center"/>
              <w:rPr>
                <w:sz w:val="18"/>
                <w:szCs w:val="18"/>
              </w:rPr>
            </w:pPr>
            <w:r>
              <w:rPr>
                <w:sz w:val="18"/>
                <w:szCs w:val="18"/>
              </w:rPr>
              <w:t>达标率</w:t>
            </w:r>
            <w:r>
              <w:rPr>
                <w:sz w:val="18"/>
                <w:szCs w:val="18"/>
              </w:rPr>
              <w:br w:type="textWrapping"/>
            </w: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pPr>
              <w:jc w:val="center"/>
              <w:rPr>
                <w:sz w:val="18"/>
                <w:szCs w:val="18"/>
              </w:rPr>
            </w:pPr>
            <w:r>
              <w:rPr>
                <w:sz w:val="18"/>
                <w:szCs w:val="18"/>
              </w:rPr>
              <w:t>1</w:t>
            </w:r>
          </w:p>
        </w:tc>
        <w:tc>
          <w:tcPr>
            <w:gridSpan w:val="2"/>
            <w:vAlign w:val="center"/>
          </w:tcPr>
          <w:p>
            <w:pPr>
              <w:jc w:val="center"/>
              <w:rPr>
                <w:sz w:val="18"/>
                <w:szCs w:val="18"/>
              </w:rPr>
            </w:pPr>
            <w:r>
              <w:rPr>
                <w:sz w:val="18"/>
                <w:szCs w:val="18"/>
              </w:rPr>
              <w:t>1002[大厅]</w:t>
            </w:r>
          </w:p>
        </w:tc>
        <w:tc>
          <w:tcPr>
            <w:gridSpan w:val="2"/>
            <w:vAlign w:val="center"/>
          </w:tcPr>
          <w:p>
            <w:pPr>
              <w:jc w:val="center"/>
              <w:rPr>
                <w:sz w:val="18"/>
                <w:szCs w:val="18"/>
              </w:rPr>
            </w:pPr>
            <w:r>
              <w:rPr>
                <w:sz w:val="18"/>
                <w:szCs w:val="18"/>
              </w:rPr>
              <w:t>大堂</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1.10</w:t>
            </w:r>
          </w:p>
        </w:tc>
        <w:tc>
          <w:tcPr>
            <w:gridSpan w:val="2"/>
            <w:vAlign w:val="center"/>
          </w:tcPr>
          <w:p>
            <w:pPr>
              <w:jc w:val="center"/>
              <w:rPr>
                <w:sz w:val="18"/>
                <w:szCs w:val="18"/>
              </w:rPr>
            </w:pPr>
            <w:r>
              <w:rPr>
                <w:sz w:val="18"/>
                <w:szCs w:val="18"/>
              </w:rPr>
              <w:t>12.59</w:t>
            </w:r>
          </w:p>
        </w:tc>
        <w:tc>
          <w:tcPr>
            <w:gridSpan w:val="2"/>
            <w:vAlign w:val="center"/>
          </w:tcPr>
          <w:p>
            <w:pPr>
              <w:jc w:val="center"/>
              <w:rPr>
                <w:sz w:val="18"/>
                <w:szCs w:val="18"/>
              </w:rPr>
            </w:pPr>
            <w:r>
              <w:rPr>
                <w:sz w:val="18"/>
                <w:szCs w:val="18"/>
              </w:rPr>
              <w:t>12.59</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1004[普通办公室]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4.28</w:t>
            </w:r>
          </w:p>
        </w:tc>
        <w:tc>
          <w:tcPr>
            <w:gridSpan w:val="2"/>
            <w:vAlign w:val="center"/>
          </w:tcPr>
          <w:p>
            <w:pPr>
              <w:jc w:val="center"/>
              <w:rPr>
                <w:sz w:val="18"/>
                <w:szCs w:val="18"/>
              </w:rPr>
            </w:pPr>
            <w:r>
              <w:rPr>
                <w:sz w:val="18"/>
                <w:szCs w:val="18"/>
              </w:rPr>
              <w:t>4.28</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1008[普通办公室]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3.30</w:t>
            </w:r>
          </w:p>
        </w:tc>
        <w:tc>
          <w:tcPr>
            <w:gridSpan w:val="2"/>
            <w:vAlign w:val="center"/>
          </w:tcPr>
          <w:p>
            <w:pPr>
              <w:jc w:val="center"/>
              <w:rPr>
                <w:sz w:val="18"/>
                <w:szCs w:val="18"/>
              </w:rPr>
            </w:pPr>
            <w:r>
              <w:rPr>
                <w:sz w:val="18"/>
                <w:szCs w:val="18"/>
              </w:rPr>
              <w:t>1.12</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X001[普通办公室]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4.28</w:t>
            </w:r>
          </w:p>
        </w:tc>
        <w:tc>
          <w:tcPr>
            <w:gridSpan w:val="2"/>
            <w:vAlign w:val="center"/>
          </w:tcPr>
          <w:p>
            <w:pPr>
              <w:jc w:val="center"/>
              <w:rPr>
                <w:sz w:val="18"/>
                <w:szCs w:val="18"/>
              </w:rPr>
            </w:pPr>
            <w:r>
              <w:rPr>
                <w:sz w:val="18"/>
                <w:szCs w:val="18"/>
              </w:rPr>
              <w:t>4.28</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X013[餐厅]</w:t>
            </w:r>
          </w:p>
        </w:tc>
        <w:tc>
          <w:tcPr>
            <w:gridSpan w:val="2"/>
            <w:vAlign w:val="center"/>
          </w:tcPr>
          <w:p>
            <w:pPr>
              <w:jc w:val="center"/>
              <w:rPr>
                <w:sz w:val="18"/>
                <w:szCs w:val="18"/>
              </w:rPr>
            </w:pPr>
            <w:r>
              <w:rPr>
                <w:sz w:val="18"/>
                <w:szCs w:val="18"/>
              </w:rPr>
              <w:t>餐厅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1.10</w:t>
            </w:r>
          </w:p>
        </w:tc>
        <w:tc>
          <w:tcPr>
            <w:gridSpan w:val="2"/>
            <w:vAlign w:val="center"/>
          </w:tcPr>
          <w:p>
            <w:pPr>
              <w:jc w:val="center"/>
              <w:rPr>
                <w:sz w:val="18"/>
                <w:szCs w:val="18"/>
              </w:rPr>
            </w:pPr>
            <w:r>
              <w:rPr>
                <w:sz w:val="18"/>
                <w:szCs w:val="18"/>
              </w:rPr>
              <w:t>8.82</w:t>
            </w:r>
          </w:p>
        </w:tc>
        <w:tc>
          <w:tcPr>
            <w:gridSpan w:val="2"/>
            <w:vAlign w:val="center"/>
          </w:tcPr>
          <w:p>
            <w:pPr>
              <w:jc w:val="center"/>
              <w:rPr>
                <w:sz w:val="18"/>
                <w:szCs w:val="18"/>
              </w:rPr>
            </w:pPr>
            <w:r>
              <w:rPr>
                <w:sz w:val="18"/>
                <w:szCs w:val="18"/>
              </w:rPr>
              <w:t>8.82</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X017[健身活动室]</w:t>
            </w:r>
          </w:p>
        </w:tc>
        <w:tc>
          <w:tcPr>
            <w:gridSpan w:val="2"/>
            <w:vAlign w:val="center"/>
          </w:tcPr>
          <w:p>
            <w:pPr>
              <w:jc w:val="center"/>
              <w:rPr>
                <w:sz w:val="18"/>
                <w:szCs w:val="18"/>
              </w:rPr>
            </w:pPr>
            <w:r>
              <w:rPr>
                <w:sz w:val="18"/>
                <w:szCs w:val="18"/>
              </w:rPr>
              <w:t>健身房</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1.10</w:t>
            </w:r>
          </w:p>
        </w:tc>
        <w:tc>
          <w:tcPr>
            <w:gridSpan w:val="2"/>
            <w:vAlign w:val="center"/>
          </w:tcPr>
          <w:p>
            <w:pPr>
              <w:jc w:val="center"/>
              <w:rPr>
                <w:sz w:val="18"/>
                <w:szCs w:val="18"/>
              </w:rPr>
            </w:pPr>
            <w:r>
              <w:rPr>
                <w:sz w:val="18"/>
                <w:szCs w:val="18"/>
              </w:rPr>
              <w:t>24.50</w:t>
            </w:r>
          </w:p>
        </w:tc>
        <w:tc>
          <w:tcPr>
            <w:gridSpan w:val="2"/>
            <w:vAlign w:val="center"/>
          </w:tcPr>
          <w:p>
            <w:pPr>
              <w:jc w:val="center"/>
              <w:rPr>
                <w:sz w:val="18"/>
                <w:szCs w:val="18"/>
              </w:rPr>
            </w:pPr>
            <w:r>
              <w:rPr>
                <w:sz w:val="18"/>
                <w:szCs w:val="18"/>
              </w:rPr>
              <w:t>24.50</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X018[健身活动室]</w:t>
            </w:r>
          </w:p>
        </w:tc>
        <w:tc>
          <w:tcPr>
            <w:gridSpan w:val="2"/>
            <w:vAlign w:val="center"/>
          </w:tcPr>
          <w:p>
            <w:pPr>
              <w:jc w:val="center"/>
              <w:rPr>
                <w:sz w:val="18"/>
                <w:szCs w:val="18"/>
              </w:rPr>
            </w:pPr>
            <w:r>
              <w:rPr>
                <w:sz w:val="18"/>
                <w:szCs w:val="18"/>
              </w:rPr>
              <w:t>健身房</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1.10</w:t>
            </w:r>
          </w:p>
        </w:tc>
        <w:tc>
          <w:tcPr>
            <w:gridSpan w:val="2"/>
            <w:vAlign w:val="center"/>
          </w:tcPr>
          <w:p>
            <w:pPr>
              <w:jc w:val="center"/>
              <w:rPr>
                <w:sz w:val="18"/>
                <w:szCs w:val="18"/>
              </w:rPr>
            </w:pPr>
            <w:r>
              <w:rPr>
                <w:sz w:val="18"/>
                <w:szCs w:val="18"/>
              </w:rPr>
              <w:t>12.56</w:t>
            </w:r>
          </w:p>
        </w:tc>
        <w:tc>
          <w:tcPr>
            <w:gridSpan w:val="2"/>
            <w:vAlign w:val="center"/>
          </w:tcPr>
          <w:p>
            <w:pPr>
              <w:jc w:val="center"/>
              <w:rPr>
                <w:sz w:val="18"/>
                <w:szCs w:val="18"/>
              </w:rPr>
            </w:pPr>
            <w:r>
              <w:rPr>
                <w:sz w:val="18"/>
                <w:szCs w:val="18"/>
              </w:rPr>
              <w:t>11.08</w:t>
            </w:r>
          </w:p>
        </w:tc>
        <w:tc>
          <w:tcPr>
            <w:vAlign w:val="center"/>
          </w:tcPr>
          <w:p>
            <w:pPr>
              <w:jc w:val="center"/>
              <w:rPr>
                <w:sz w:val="18"/>
                <w:szCs w:val="18"/>
              </w:rPr>
            </w:pPr>
            <w:r>
              <w:rPr>
                <w:sz w:val="18"/>
                <w:szCs w:val="18"/>
              </w:rPr>
              <w:t>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X019[病房]</w:t>
            </w:r>
          </w:p>
        </w:tc>
        <w:tc>
          <w:tcPr>
            <w:gridSpan w:val="2"/>
            <w:vAlign w:val="center"/>
          </w:tcPr>
          <w:p>
            <w:pPr>
              <w:jc w:val="center"/>
              <w:rPr>
                <w:sz w:val="18"/>
                <w:szCs w:val="18"/>
              </w:rPr>
            </w:pPr>
            <w:r>
              <w:rPr>
                <w:sz w:val="18"/>
                <w:szCs w:val="18"/>
              </w:rPr>
              <w:t>一般病房</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1.10</w:t>
            </w:r>
          </w:p>
        </w:tc>
        <w:tc>
          <w:tcPr>
            <w:gridSpan w:val="2"/>
            <w:vAlign w:val="center"/>
          </w:tcPr>
          <w:p>
            <w:pPr>
              <w:jc w:val="center"/>
              <w:rPr>
                <w:sz w:val="18"/>
                <w:szCs w:val="18"/>
              </w:rPr>
            </w:pPr>
            <w:r>
              <w:rPr>
                <w:sz w:val="18"/>
                <w:szCs w:val="18"/>
              </w:rPr>
              <w:t>6.22</w:t>
            </w:r>
          </w:p>
        </w:tc>
        <w:tc>
          <w:tcPr>
            <w:gridSpan w:val="2"/>
            <w:vAlign w:val="center"/>
          </w:tcPr>
          <w:p>
            <w:pPr>
              <w:jc w:val="center"/>
              <w:rPr>
                <w:sz w:val="18"/>
                <w:szCs w:val="18"/>
              </w:rPr>
            </w:pPr>
            <w:r>
              <w:rPr>
                <w:sz w:val="18"/>
                <w:szCs w:val="18"/>
              </w:rPr>
              <w:t>5.50</w:t>
            </w:r>
          </w:p>
        </w:tc>
        <w:tc>
          <w:tcPr>
            <w:vAlign w:val="center"/>
          </w:tcPr>
          <w:p>
            <w:pPr>
              <w:jc w:val="center"/>
              <w:rPr>
                <w:sz w:val="18"/>
                <w:szCs w:val="18"/>
              </w:rPr>
            </w:pPr>
            <w:r>
              <w:rPr>
                <w:sz w:val="18"/>
                <w:szCs w:val="18"/>
              </w:rPr>
              <w:t>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X020[病房]</w:t>
            </w:r>
          </w:p>
        </w:tc>
        <w:tc>
          <w:tcPr>
            <w:gridSpan w:val="2"/>
            <w:vAlign w:val="center"/>
          </w:tcPr>
          <w:p>
            <w:pPr>
              <w:jc w:val="center"/>
              <w:rPr>
                <w:sz w:val="18"/>
                <w:szCs w:val="18"/>
              </w:rPr>
            </w:pPr>
            <w:r>
              <w:rPr>
                <w:sz w:val="18"/>
                <w:szCs w:val="18"/>
              </w:rPr>
              <w:t>一般病房</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1.10</w:t>
            </w:r>
          </w:p>
        </w:tc>
        <w:tc>
          <w:tcPr>
            <w:gridSpan w:val="2"/>
            <w:vAlign w:val="center"/>
          </w:tcPr>
          <w:p>
            <w:pPr>
              <w:jc w:val="center"/>
              <w:rPr>
                <w:sz w:val="18"/>
                <w:szCs w:val="18"/>
              </w:rPr>
            </w:pPr>
            <w:r>
              <w:rPr>
                <w:sz w:val="18"/>
                <w:szCs w:val="18"/>
              </w:rPr>
              <w:t>6.22</w:t>
            </w:r>
          </w:p>
        </w:tc>
        <w:tc>
          <w:tcPr>
            <w:gridSpan w:val="2"/>
            <w:vAlign w:val="center"/>
          </w:tcPr>
          <w:p>
            <w:pPr>
              <w:jc w:val="center"/>
              <w:rPr>
                <w:sz w:val="18"/>
                <w:szCs w:val="18"/>
              </w:rPr>
            </w:pPr>
            <w:r>
              <w:rPr>
                <w:sz w:val="18"/>
                <w:szCs w:val="18"/>
              </w:rPr>
              <w:t>6.22</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X023[健身活动室]</w:t>
            </w:r>
          </w:p>
        </w:tc>
        <w:tc>
          <w:tcPr>
            <w:gridSpan w:val="2"/>
            <w:vAlign w:val="center"/>
          </w:tcPr>
          <w:p>
            <w:pPr>
              <w:jc w:val="center"/>
              <w:rPr>
                <w:sz w:val="18"/>
                <w:szCs w:val="18"/>
              </w:rPr>
            </w:pPr>
            <w:r>
              <w:rPr>
                <w:sz w:val="18"/>
                <w:szCs w:val="18"/>
              </w:rPr>
              <w:t>健身房</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1.10</w:t>
            </w:r>
          </w:p>
        </w:tc>
        <w:tc>
          <w:tcPr>
            <w:gridSpan w:val="2"/>
            <w:vAlign w:val="center"/>
          </w:tcPr>
          <w:p>
            <w:pPr>
              <w:jc w:val="center"/>
              <w:rPr>
                <w:sz w:val="18"/>
                <w:szCs w:val="18"/>
              </w:rPr>
            </w:pPr>
            <w:r>
              <w:rPr>
                <w:sz w:val="18"/>
                <w:szCs w:val="18"/>
              </w:rPr>
              <w:t>28.64</w:t>
            </w:r>
          </w:p>
        </w:tc>
        <w:tc>
          <w:tcPr>
            <w:gridSpan w:val="2"/>
            <w:vAlign w:val="center"/>
          </w:tcPr>
          <w:p>
            <w:pPr>
              <w:jc w:val="center"/>
              <w:rPr>
                <w:sz w:val="18"/>
                <w:szCs w:val="18"/>
              </w:rPr>
            </w:pPr>
            <w:r>
              <w:rPr>
                <w:sz w:val="18"/>
                <w:szCs w:val="18"/>
              </w:rPr>
              <w:t>28.64</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X027[普通办公室]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9.76</w:t>
            </w:r>
          </w:p>
        </w:tc>
        <w:tc>
          <w:tcPr>
            <w:gridSpan w:val="2"/>
            <w:vAlign w:val="center"/>
          </w:tcPr>
          <w:p>
            <w:pPr>
              <w:jc w:val="center"/>
              <w:rPr>
                <w:sz w:val="18"/>
                <w:szCs w:val="18"/>
              </w:rPr>
            </w:pPr>
            <w:r>
              <w:rPr>
                <w:sz w:val="18"/>
                <w:szCs w:val="18"/>
              </w:rPr>
              <w:t>9.76</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X028[治疗室、诊室]</w:t>
            </w:r>
          </w:p>
        </w:tc>
        <w:tc>
          <w:tcPr>
            <w:gridSpan w:val="2"/>
            <w:vAlign w:val="center"/>
          </w:tcPr>
          <w:p>
            <w:pPr>
              <w:jc w:val="center"/>
              <w:rPr>
                <w:sz w:val="18"/>
                <w:szCs w:val="18"/>
              </w:rPr>
            </w:pPr>
            <w:r>
              <w:rPr>
                <w:sz w:val="18"/>
                <w:szCs w:val="18"/>
              </w:rPr>
              <w:t>诊室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9.76</w:t>
            </w:r>
          </w:p>
        </w:tc>
        <w:tc>
          <w:tcPr>
            <w:gridSpan w:val="2"/>
            <w:vAlign w:val="center"/>
          </w:tcPr>
          <w:p>
            <w:pPr>
              <w:jc w:val="center"/>
              <w:rPr>
                <w:sz w:val="18"/>
                <w:szCs w:val="18"/>
              </w:rPr>
            </w:pPr>
            <w:r>
              <w:rPr>
                <w:sz w:val="18"/>
                <w:szCs w:val="18"/>
              </w:rPr>
              <w:t>9.76</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pPr>
              <w:jc w:val="center"/>
              <w:rPr>
                <w:sz w:val="18"/>
                <w:szCs w:val="18"/>
              </w:rPr>
            </w:pPr>
            <w:r>
              <w:rPr>
                <w:sz w:val="18"/>
                <w:szCs w:val="18"/>
              </w:rPr>
              <w:t>2</w:t>
            </w:r>
          </w:p>
        </w:tc>
        <w:tc>
          <w:tcPr>
            <w:gridSpan w:val="2"/>
            <w:vAlign w:val="center"/>
          </w:tcPr>
          <w:p>
            <w:pPr>
              <w:jc w:val="center"/>
              <w:rPr>
                <w:sz w:val="18"/>
                <w:szCs w:val="18"/>
              </w:rPr>
            </w:pPr>
            <w:r>
              <w:rPr>
                <w:sz w:val="18"/>
                <w:szCs w:val="18"/>
              </w:rPr>
              <w:t>2001[阅览室]</w:t>
            </w:r>
          </w:p>
        </w:tc>
        <w:tc>
          <w:tcPr>
            <w:gridSpan w:val="2"/>
            <w:vAlign w:val="center"/>
          </w:tcPr>
          <w:p>
            <w:pPr>
              <w:jc w:val="center"/>
              <w:rPr>
                <w:sz w:val="18"/>
                <w:szCs w:val="18"/>
              </w:rPr>
            </w:pPr>
            <w:r>
              <w:rPr>
                <w:sz w:val="18"/>
                <w:szCs w:val="18"/>
              </w:rPr>
              <w:t>专用教室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10.66</w:t>
            </w:r>
          </w:p>
        </w:tc>
        <w:tc>
          <w:tcPr>
            <w:gridSpan w:val="2"/>
            <w:vAlign w:val="center"/>
          </w:tcPr>
          <w:p>
            <w:pPr>
              <w:jc w:val="center"/>
              <w:rPr>
                <w:sz w:val="18"/>
                <w:szCs w:val="18"/>
              </w:rPr>
            </w:pPr>
            <w:r>
              <w:rPr>
                <w:sz w:val="18"/>
                <w:szCs w:val="18"/>
              </w:rPr>
              <w:t>10.66</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2004[美术教室]</w:t>
            </w:r>
          </w:p>
        </w:tc>
        <w:tc>
          <w:tcPr>
            <w:gridSpan w:val="2"/>
            <w:vAlign w:val="center"/>
          </w:tcPr>
          <w:p>
            <w:pPr>
              <w:jc w:val="center"/>
              <w:rPr>
                <w:sz w:val="18"/>
                <w:szCs w:val="18"/>
              </w:rPr>
            </w:pPr>
            <w:r>
              <w:rPr>
                <w:sz w:val="18"/>
                <w:szCs w:val="18"/>
              </w:rPr>
              <w:t>专用教室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6.23</w:t>
            </w:r>
          </w:p>
        </w:tc>
        <w:tc>
          <w:tcPr>
            <w:gridSpan w:val="2"/>
            <w:vAlign w:val="center"/>
          </w:tcPr>
          <w:p>
            <w:pPr>
              <w:jc w:val="center"/>
              <w:rPr>
                <w:sz w:val="18"/>
                <w:szCs w:val="18"/>
              </w:rPr>
            </w:pPr>
            <w:r>
              <w:rPr>
                <w:sz w:val="18"/>
                <w:szCs w:val="18"/>
              </w:rPr>
              <w:t>3.70</w:t>
            </w:r>
          </w:p>
        </w:tc>
        <w:tc>
          <w:tcPr>
            <w:vAlign w:val="center"/>
          </w:tcPr>
          <w:p>
            <w:pPr>
              <w:jc w:val="center"/>
              <w:rPr>
                <w:sz w:val="18"/>
                <w:szCs w:val="18"/>
              </w:rPr>
            </w:pPr>
            <w:r>
              <w:rPr>
                <w:sz w:val="18"/>
                <w:szCs w:val="18"/>
              </w:rPr>
              <w:t>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2006[酒吧、茶座]</w:t>
            </w:r>
          </w:p>
        </w:tc>
        <w:tc>
          <w:tcPr>
            <w:gridSpan w:val="2"/>
            <w:vAlign w:val="center"/>
          </w:tcPr>
          <w:p>
            <w:pPr>
              <w:jc w:val="center"/>
              <w:rPr>
                <w:sz w:val="18"/>
                <w:szCs w:val="18"/>
              </w:rPr>
            </w:pPr>
            <w:r>
              <w:rPr>
                <w:sz w:val="18"/>
                <w:szCs w:val="18"/>
              </w:rPr>
              <w:t>餐厅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1.10</w:t>
            </w:r>
          </w:p>
        </w:tc>
        <w:tc>
          <w:tcPr>
            <w:gridSpan w:val="2"/>
            <w:vAlign w:val="center"/>
          </w:tcPr>
          <w:p>
            <w:pPr>
              <w:jc w:val="center"/>
              <w:rPr>
                <w:sz w:val="18"/>
                <w:szCs w:val="18"/>
              </w:rPr>
            </w:pPr>
            <w:r>
              <w:rPr>
                <w:sz w:val="18"/>
                <w:szCs w:val="18"/>
              </w:rPr>
              <w:t>29.60</w:t>
            </w:r>
          </w:p>
        </w:tc>
        <w:tc>
          <w:tcPr>
            <w:gridSpan w:val="2"/>
            <w:vAlign w:val="center"/>
          </w:tcPr>
          <w:p>
            <w:pPr>
              <w:jc w:val="center"/>
              <w:rPr>
                <w:sz w:val="18"/>
                <w:szCs w:val="18"/>
              </w:rPr>
            </w:pPr>
            <w:r>
              <w:rPr>
                <w:sz w:val="18"/>
                <w:szCs w:val="18"/>
              </w:rPr>
              <w:t>29.60</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2008[视听阅览室]</w:t>
            </w:r>
          </w:p>
        </w:tc>
        <w:tc>
          <w:tcPr>
            <w:gridSpan w:val="2"/>
            <w:vAlign w:val="center"/>
          </w:tcPr>
          <w:p>
            <w:pPr>
              <w:jc w:val="center"/>
              <w:rPr>
                <w:sz w:val="18"/>
                <w:szCs w:val="18"/>
              </w:rPr>
            </w:pPr>
            <w:r>
              <w:rPr>
                <w:sz w:val="18"/>
                <w:szCs w:val="18"/>
              </w:rPr>
              <w:t>专用教室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10.63</w:t>
            </w:r>
          </w:p>
        </w:tc>
        <w:tc>
          <w:tcPr>
            <w:gridSpan w:val="2"/>
            <w:vAlign w:val="center"/>
          </w:tcPr>
          <w:p>
            <w:pPr>
              <w:jc w:val="center"/>
              <w:rPr>
                <w:sz w:val="18"/>
                <w:szCs w:val="18"/>
              </w:rPr>
            </w:pPr>
            <w:r>
              <w:rPr>
                <w:sz w:val="18"/>
                <w:szCs w:val="18"/>
              </w:rPr>
              <w:t>10.63</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2012[普通教室]</w:t>
            </w:r>
          </w:p>
        </w:tc>
        <w:tc>
          <w:tcPr>
            <w:gridSpan w:val="2"/>
            <w:vAlign w:val="center"/>
          </w:tcPr>
          <w:p>
            <w:pPr>
              <w:jc w:val="center"/>
              <w:rPr>
                <w:sz w:val="18"/>
                <w:szCs w:val="18"/>
              </w:rPr>
            </w:pPr>
            <w:r>
              <w:rPr>
                <w:sz w:val="18"/>
                <w:szCs w:val="18"/>
              </w:rPr>
              <w:t>普通教室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3.30</w:t>
            </w:r>
          </w:p>
        </w:tc>
        <w:tc>
          <w:tcPr>
            <w:gridSpan w:val="2"/>
            <w:vAlign w:val="center"/>
          </w:tcPr>
          <w:p>
            <w:pPr>
              <w:jc w:val="center"/>
              <w:rPr>
                <w:sz w:val="18"/>
                <w:szCs w:val="18"/>
              </w:rPr>
            </w:pPr>
            <w:r>
              <w:rPr>
                <w:sz w:val="18"/>
                <w:szCs w:val="18"/>
              </w:rPr>
              <w:t>46.65</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2014[会议室]</w:t>
            </w:r>
          </w:p>
        </w:tc>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3.30</w:t>
            </w:r>
          </w:p>
        </w:tc>
        <w:tc>
          <w:tcPr>
            <w:gridSpan w:val="2"/>
            <w:vAlign w:val="center"/>
          </w:tcPr>
          <w:p>
            <w:pPr>
              <w:jc w:val="center"/>
              <w:rPr>
                <w:sz w:val="18"/>
                <w:szCs w:val="18"/>
              </w:rPr>
            </w:pPr>
            <w:r>
              <w:rPr>
                <w:sz w:val="18"/>
                <w:szCs w:val="18"/>
              </w:rPr>
              <w:t>59.33</w:t>
            </w:r>
          </w:p>
        </w:tc>
        <w:tc>
          <w:tcPr>
            <w:gridSpan w:val="2"/>
            <w:vAlign w:val="center"/>
          </w:tcPr>
          <w:p>
            <w:pPr>
              <w:jc w:val="center"/>
              <w:rPr>
                <w:sz w:val="18"/>
                <w:szCs w:val="18"/>
              </w:rPr>
            </w:pPr>
            <w:r>
              <w:rPr>
                <w:sz w:val="18"/>
                <w:szCs w:val="18"/>
              </w:rPr>
              <w:t>59.33</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2016[普通办公室]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6.22</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2017[普通办公室]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6.22</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2018[普通办公室]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6.22</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2019[普通办公室]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15.04</w:t>
            </w:r>
          </w:p>
        </w:tc>
        <w:tc>
          <w:tcPr>
            <w:gridSpan w:val="2"/>
            <w:vAlign w:val="center"/>
          </w:tcPr>
          <w:p>
            <w:pPr>
              <w:jc w:val="center"/>
              <w:rPr>
                <w:sz w:val="18"/>
                <w:szCs w:val="18"/>
              </w:rPr>
            </w:pPr>
            <w:r>
              <w:rPr>
                <w:sz w:val="18"/>
                <w:szCs w:val="18"/>
              </w:rPr>
              <w:t>15.04</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2020[普通办公室]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14.74</w:t>
            </w:r>
          </w:p>
        </w:tc>
        <w:tc>
          <w:tcPr>
            <w:gridSpan w:val="2"/>
            <w:vAlign w:val="center"/>
          </w:tcPr>
          <w:p>
            <w:pPr>
              <w:jc w:val="center"/>
              <w:rPr>
                <w:sz w:val="18"/>
                <w:szCs w:val="18"/>
              </w:rPr>
            </w:pPr>
            <w:r>
              <w:rPr>
                <w:sz w:val="18"/>
                <w:szCs w:val="18"/>
              </w:rPr>
              <w:t>14.74</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2026[普通办公室]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9.76</w:t>
            </w:r>
          </w:p>
        </w:tc>
        <w:tc>
          <w:tcPr>
            <w:gridSpan w:val="2"/>
            <w:vAlign w:val="center"/>
          </w:tcPr>
          <w:p>
            <w:pPr>
              <w:jc w:val="center"/>
              <w:rPr>
                <w:sz w:val="18"/>
                <w:szCs w:val="18"/>
              </w:rPr>
            </w:pPr>
            <w:r>
              <w:rPr>
                <w:sz w:val="18"/>
                <w:szCs w:val="18"/>
              </w:rPr>
              <w:t>2.44</w:t>
            </w:r>
          </w:p>
        </w:tc>
        <w:tc>
          <w:tcPr>
            <w:vAlign w:val="center"/>
          </w:tcPr>
          <w:p>
            <w:pPr>
              <w:jc w:val="center"/>
              <w:rPr>
                <w:sz w:val="18"/>
                <w:szCs w:val="18"/>
              </w:rPr>
            </w:pPr>
            <w:r>
              <w:rPr>
                <w:sz w:val="18"/>
                <w:szCs w:val="18"/>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2027[档案室]</w:t>
            </w:r>
          </w:p>
        </w:tc>
        <w:tc>
          <w:tcPr>
            <w:gridSpan w:val="2"/>
            <w:vAlign w:val="center"/>
          </w:tcPr>
          <w:p>
            <w:pPr>
              <w:jc w:val="center"/>
              <w:rPr>
                <w:sz w:val="18"/>
                <w:szCs w:val="18"/>
              </w:rPr>
            </w:pPr>
            <w:r>
              <w:rPr>
                <w:sz w:val="18"/>
                <w:szCs w:val="18"/>
              </w:rPr>
              <w:t>档案室</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1.10</w:t>
            </w:r>
          </w:p>
        </w:tc>
        <w:tc>
          <w:tcPr>
            <w:gridSpan w:val="2"/>
            <w:vAlign w:val="center"/>
          </w:tcPr>
          <w:p>
            <w:pPr>
              <w:jc w:val="center"/>
              <w:rPr>
                <w:sz w:val="18"/>
                <w:szCs w:val="18"/>
              </w:rPr>
            </w:pPr>
            <w:r>
              <w:rPr>
                <w:sz w:val="18"/>
                <w:szCs w:val="18"/>
              </w:rPr>
              <w:t>9.76</w:t>
            </w:r>
          </w:p>
        </w:tc>
        <w:tc>
          <w:tcPr>
            <w:gridSpan w:val="2"/>
            <w:vAlign w:val="center"/>
          </w:tcPr>
          <w:p>
            <w:pPr>
              <w:jc w:val="center"/>
              <w:rPr>
                <w:sz w:val="18"/>
                <w:szCs w:val="18"/>
              </w:rPr>
            </w:pPr>
            <w:r>
              <w:rPr>
                <w:sz w:val="18"/>
                <w:szCs w:val="18"/>
              </w:rPr>
              <w:t>9.76</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pPr>
              <w:jc w:val="center"/>
              <w:rPr>
                <w:sz w:val="18"/>
                <w:szCs w:val="18"/>
              </w:rPr>
            </w:pPr>
            <w:r>
              <w:rPr>
                <w:sz w:val="18"/>
                <w:szCs w:val="18"/>
              </w:rPr>
              <w:t>房间类型</w:t>
            </w:r>
          </w:p>
        </w:tc>
        <w:tc>
          <w:tcPr>
            <w:gridSpan w:val="2"/>
            <w:vMerge w:val="restart"/>
            <w:shd w:val="clear" w:color="auto" w:fill="E6E6E6"/>
            <w:vAlign w:val="center"/>
          </w:tcPr>
          <w:p>
            <w:pPr>
              <w:jc w:val="center"/>
              <w:rPr>
                <w:sz w:val="18"/>
                <w:szCs w:val="18"/>
              </w:rPr>
            </w:pPr>
            <w:r>
              <w:rPr>
                <w:sz w:val="18"/>
                <w:szCs w:val="18"/>
              </w:rPr>
              <w:t>采光类型</w:t>
            </w:r>
          </w:p>
        </w:tc>
        <w:tc>
          <w:tcPr>
            <w:gridSpan w:val="5"/>
            <w:shd w:val="clear" w:color="auto" w:fill="E6E6E6"/>
            <w:vAlign w:val="center"/>
          </w:tcPr>
          <w:p>
            <w:pPr>
              <w:jc w:val="center"/>
              <w:rPr>
                <w:sz w:val="18"/>
                <w:szCs w:val="18"/>
              </w:rPr>
            </w:pPr>
            <w:r>
              <w:rPr>
                <w:sz w:val="18"/>
                <w:szCs w:val="18"/>
              </w:rPr>
              <w:t>标准值</w:t>
            </w:r>
          </w:p>
        </w:tc>
        <w:tc>
          <w:tcPr>
            <w:gridSpan w:val="4"/>
            <w:shd w:val="clear" w:color="auto" w:fill="E6E6E6"/>
            <w:vAlign w:val="center"/>
          </w:tcPr>
          <w:p>
            <w:pPr>
              <w:jc w:val="center"/>
              <w:rPr>
                <w:sz w:val="18"/>
                <w:szCs w:val="18"/>
              </w:rPr>
            </w:pPr>
            <w:r>
              <w:rPr>
                <w:sz w:val="18"/>
                <w:szCs w:val="18"/>
              </w:rPr>
              <w:t>面积(m2)</w:t>
            </w:r>
          </w:p>
        </w:tc>
        <w:tc>
          <w:tcPr>
            <w:gridSpan w:val="3"/>
            <w:vMerge w:val="restart"/>
            <w:shd w:val="clear" w:color="auto" w:fill="E6E6E6"/>
            <w:vAlign w:val="center"/>
          </w:tcPr>
          <w:p>
            <w:pPr>
              <w:jc w:val="center"/>
              <w:rPr>
                <w:sz w:val="18"/>
                <w:szCs w:val="18"/>
              </w:rPr>
            </w:pPr>
            <w:r>
              <w:rPr>
                <w:sz w:val="18"/>
                <w:szCs w:val="18"/>
              </w:rPr>
              <w:t>达标率</w:t>
            </w:r>
            <w:r>
              <w:rPr>
                <w:sz w:val="18"/>
                <w:szCs w:val="18"/>
              </w:rPr>
              <w:br w:type="textWrapping"/>
            </w: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pPr>
              <w:jc w:val="center"/>
              <w:rPr>
                <w:sz w:val="18"/>
                <w:szCs w:val="18"/>
              </w:rPr>
            </w:pPr>
          </w:p>
        </w:tc>
        <w:tc>
          <w:tcPr>
            <w:gridSpan w:val="2"/>
            <w:vMerge w:val="continue"/>
            <w:shd w:val="clear" w:color="auto" w:fill="E6E6E6"/>
            <w:vAlign w:val="center"/>
          </w:tcPr>
          <w:p>
            <w:pPr>
              <w:jc w:val="center"/>
              <w:rPr>
                <w:sz w:val="18"/>
                <w:szCs w:val="18"/>
              </w:rPr>
            </w:pPr>
          </w:p>
        </w:tc>
        <w:tc>
          <w:tcPr>
            <w:gridSpan w:val="2"/>
            <w:shd w:val="clear" w:color="auto" w:fill="E6E6E6"/>
            <w:vAlign w:val="center"/>
          </w:tcPr>
          <w:p>
            <w:pPr>
              <w:jc w:val="center"/>
              <w:rPr>
                <w:sz w:val="18"/>
                <w:szCs w:val="18"/>
              </w:rPr>
            </w:pPr>
            <w:r>
              <w:rPr>
                <w:sz w:val="18"/>
                <w:szCs w:val="18"/>
              </w:rPr>
              <w:t>平均采光</w:t>
            </w:r>
            <w:r>
              <w:rPr>
                <w:sz w:val="18"/>
                <w:szCs w:val="18"/>
              </w:rPr>
              <w:br w:type="textWrapping"/>
            </w:r>
            <w:r>
              <w:rPr>
                <w:sz w:val="18"/>
                <w:szCs w:val="18"/>
              </w:rPr>
              <w:t>系数(%)</w:t>
            </w:r>
          </w:p>
        </w:tc>
        <w:tc>
          <w:tcPr>
            <w:gridSpan w:val="3"/>
            <w:shd w:val="clear" w:color="auto" w:fill="E6E6E6"/>
            <w:vAlign w:val="center"/>
          </w:tcPr>
          <w:p>
            <w:pPr>
              <w:jc w:val="center"/>
              <w:rPr>
                <w:sz w:val="18"/>
                <w:szCs w:val="18"/>
              </w:rPr>
            </w:pPr>
            <w:r>
              <w:rPr>
                <w:sz w:val="18"/>
                <w:szCs w:val="18"/>
              </w:rPr>
              <w:t>室内天然光</w:t>
            </w:r>
            <w:r>
              <w:rPr>
                <w:sz w:val="18"/>
                <w:szCs w:val="18"/>
              </w:rPr>
              <w:br w:type="textWrapping"/>
            </w:r>
            <w:r>
              <w:rPr>
                <w:sz w:val="18"/>
                <w:szCs w:val="18"/>
              </w:rPr>
              <w:t>设计照度(Lx)</w:t>
            </w:r>
          </w:p>
        </w:tc>
        <w:tc>
          <w:tcPr>
            <w:gridSpan w:val="2"/>
            <w:shd w:val="clear" w:color="auto" w:fill="E6E6E6"/>
            <w:vAlign w:val="center"/>
          </w:tcPr>
          <w:p>
            <w:pPr>
              <w:jc w:val="center"/>
              <w:rPr>
                <w:sz w:val="18"/>
                <w:szCs w:val="18"/>
              </w:rPr>
            </w:pPr>
            <w:r>
              <w:rPr>
                <w:sz w:val="18"/>
                <w:szCs w:val="18"/>
              </w:rPr>
              <w:t>总面积</w:t>
            </w:r>
          </w:p>
        </w:tc>
        <w:tc>
          <w:tcPr>
            <w:gridSpan w:val="2"/>
            <w:shd w:val="clear" w:color="auto" w:fill="E6E6E6"/>
            <w:vAlign w:val="center"/>
          </w:tcPr>
          <w:p>
            <w:pPr>
              <w:jc w:val="center"/>
              <w:rPr>
                <w:sz w:val="18"/>
                <w:szCs w:val="18"/>
              </w:rPr>
            </w:pPr>
            <w:r>
              <w:rPr>
                <w:sz w:val="18"/>
                <w:szCs w:val="18"/>
              </w:rPr>
              <w:t>达标面积</w:t>
            </w:r>
          </w:p>
        </w:tc>
        <w:tc>
          <w:tcPr>
            <w:gridSpan w:val="3"/>
            <w:vMerge w:val="continue"/>
            <w:shd w:val="clear" w:color="auto" w:fill="E6E6E6"/>
            <w:vAlign w:val="center"/>
          </w:tcPr>
          <w:p>
            <w:pPr>
              <w:jc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大堂</w:t>
            </w:r>
          </w:p>
        </w:tc>
        <w:tc>
          <w:tcPr>
            <w:gridSpan w:val="2"/>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1.10</w:t>
            </w:r>
          </w:p>
        </w:tc>
        <w:tc>
          <w:tcPr>
            <w:gridSpan w:val="3"/>
            <w:vAlign w:val="center"/>
          </w:tcPr>
          <w:p>
            <w:pPr>
              <w:jc w:val="center"/>
              <w:rPr>
                <w:sz w:val="18"/>
                <w:szCs w:val="18"/>
              </w:rPr>
            </w:pPr>
            <w:r>
              <w:rPr>
                <w:sz w:val="18"/>
                <w:szCs w:val="18"/>
              </w:rPr>
              <w:t>－</w:t>
            </w:r>
          </w:p>
        </w:tc>
        <w:tc>
          <w:tcPr>
            <w:gridSpan w:val="2"/>
            <w:vAlign w:val="center"/>
          </w:tcPr>
          <w:p>
            <w:pPr>
              <w:jc w:val="center"/>
              <w:rPr>
                <w:sz w:val="18"/>
                <w:szCs w:val="18"/>
              </w:rPr>
            </w:pPr>
            <w:r>
              <w:rPr>
                <w:sz w:val="18"/>
                <w:szCs w:val="18"/>
              </w:rPr>
              <w:t>12.59</w:t>
            </w:r>
          </w:p>
        </w:tc>
        <w:tc>
          <w:tcPr>
            <w:gridSpan w:val="2"/>
            <w:vAlign w:val="center"/>
          </w:tcPr>
          <w:p>
            <w:pPr>
              <w:jc w:val="center"/>
              <w:rPr>
                <w:sz w:val="18"/>
                <w:szCs w:val="18"/>
              </w:rPr>
            </w:pPr>
            <w:r>
              <w:rPr>
                <w:sz w:val="18"/>
                <w:szCs w:val="18"/>
              </w:rPr>
              <w:t>12.59</w:t>
            </w:r>
          </w:p>
        </w:tc>
        <w:tc>
          <w:tcPr>
            <w:gridSpan w:val="3"/>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2.20</w:t>
            </w:r>
          </w:p>
        </w:tc>
        <w:tc>
          <w:tcPr>
            <w:gridSpan w:val="3"/>
            <w:vAlign w:val="center"/>
          </w:tcPr>
          <w:p>
            <w:pPr>
              <w:jc w:val="center"/>
              <w:rPr>
                <w:sz w:val="18"/>
                <w:szCs w:val="18"/>
              </w:rPr>
            </w:pPr>
            <w:r>
              <w:rPr>
                <w:sz w:val="18"/>
                <w:szCs w:val="18"/>
              </w:rPr>
              <w:t>－</w:t>
            </w:r>
          </w:p>
        </w:tc>
        <w:tc>
          <w:tcPr>
            <w:gridSpan w:val="2"/>
            <w:vAlign w:val="center"/>
          </w:tcPr>
          <w:p>
            <w:pPr>
              <w:jc w:val="center"/>
              <w:rPr>
                <w:sz w:val="18"/>
                <w:szCs w:val="18"/>
              </w:rPr>
            </w:pPr>
            <w:r>
              <w:rPr>
                <w:sz w:val="18"/>
                <w:szCs w:val="18"/>
              </w:rPr>
              <w:t>76.51</w:t>
            </w:r>
          </w:p>
        </w:tc>
        <w:tc>
          <w:tcPr>
            <w:gridSpan w:val="2"/>
            <w:vAlign w:val="center"/>
          </w:tcPr>
          <w:p>
            <w:pPr>
              <w:jc w:val="center"/>
              <w:rPr>
                <w:sz w:val="18"/>
                <w:szCs w:val="18"/>
              </w:rPr>
            </w:pPr>
            <w:r>
              <w:rPr>
                <w:sz w:val="18"/>
                <w:szCs w:val="18"/>
              </w:rPr>
              <w:t>50.53</w:t>
            </w:r>
          </w:p>
        </w:tc>
        <w:tc>
          <w:tcPr>
            <w:gridSpan w:val="3"/>
            <w:vAlign w:val="center"/>
          </w:tcPr>
          <w:p>
            <w:pPr>
              <w:jc w:val="center"/>
              <w:rPr>
                <w:sz w:val="18"/>
                <w:szCs w:val="18"/>
              </w:rPr>
            </w:pPr>
            <w:r>
              <w:rPr>
                <w:sz w:val="18"/>
                <w:szCs w:val="18"/>
              </w:rPr>
              <w:t>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3.30</w:t>
            </w:r>
          </w:p>
        </w:tc>
        <w:tc>
          <w:tcPr>
            <w:gridSpan w:val="3"/>
            <w:vAlign w:val="center"/>
          </w:tcPr>
          <w:p>
            <w:pPr>
              <w:jc w:val="center"/>
              <w:rPr>
                <w:sz w:val="18"/>
                <w:szCs w:val="18"/>
              </w:rPr>
            </w:pPr>
            <w:r>
              <w:rPr>
                <w:sz w:val="18"/>
                <w:szCs w:val="18"/>
              </w:rPr>
              <w:t>450</w:t>
            </w:r>
          </w:p>
        </w:tc>
        <w:tc>
          <w:tcPr>
            <w:gridSpan w:val="2"/>
            <w:vAlign w:val="center"/>
          </w:tcPr>
          <w:p>
            <w:pPr>
              <w:jc w:val="center"/>
              <w:rPr>
                <w:sz w:val="18"/>
                <w:szCs w:val="18"/>
              </w:rPr>
            </w:pPr>
            <w:r>
              <w:rPr>
                <w:sz w:val="18"/>
                <w:szCs w:val="18"/>
              </w:rPr>
              <w:t>1.12</w:t>
            </w:r>
          </w:p>
        </w:tc>
        <w:tc>
          <w:tcPr>
            <w:gridSpan w:val="2"/>
            <w:vAlign w:val="center"/>
          </w:tcPr>
          <w:p>
            <w:pPr>
              <w:jc w:val="center"/>
              <w:rPr>
                <w:sz w:val="18"/>
                <w:szCs w:val="18"/>
              </w:rPr>
            </w:pPr>
            <w:r>
              <w:rPr>
                <w:sz w:val="18"/>
                <w:szCs w:val="18"/>
              </w:rPr>
              <w:t>0.00</w:t>
            </w:r>
          </w:p>
        </w:tc>
        <w:tc>
          <w:tcPr>
            <w:gridSpan w:val="3"/>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餐厅</w:t>
            </w:r>
          </w:p>
        </w:tc>
        <w:tc>
          <w:tcPr>
            <w:gridSpan w:val="2"/>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1.10</w:t>
            </w:r>
          </w:p>
        </w:tc>
        <w:tc>
          <w:tcPr>
            <w:gridSpan w:val="3"/>
            <w:vAlign w:val="center"/>
          </w:tcPr>
          <w:p>
            <w:pPr>
              <w:jc w:val="center"/>
              <w:rPr>
                <w:sz w:val="18"/>
                <w:szCs w:val="18"/>
              </w:rPr>
            </w:pPr>
            <w:r>
              <w:rPr>
                <w:sz w:val="18"/>
                <w:szCs w:val="18"/>
              </w:rPr>
              <w:t>－</w:t>
            </w:r>
          </w:p>
        </w:tc>
        <w:tc>
          <w:tcPr>
            <w:gridSpan w:val="2"/>
            <w:vAlign w:val="center"/>
          </w:tcPr>
          <w:p>
            <w:pPr>
              <w:jc w:val="center"/>
              <w:rPr>
                <w:sz w:val="18"/>
                <w:szCs w:val="18"/>
              </w:rPr>
            </w:pPr>
            <w:r>
              <w:rPr>
                <w:sz w:val="18"/>
                <w:szCs w:val="18"/>
              </w:rPr>
              <w:t>38.42</w:t>
            </w:r>
          </w:p>
        </w:tc>
        <w:tc>
          <w:tcPr>
            <w:gridSpan w:val="2"/>
            <w:vAlign w:val="center"/>
          </w:tcPr>
          <w:p>
            <w:pPr>
              <w:jc w:val="center"/>
              <w:rPr>
                <w:sz w:val="18"/>
                <w:szCs w:val="18"/>
              </w:rPr>
            </w:pPr>
            <w:r>
              <w:rPr>
                <w:sz w:val="18"/>
                <w:szCs w:val="18"/>
              </w:rPr>
              <w:t>38.42</w:t>
            </w:r>
          </w:p>
        </w:tc>
        <w:tc>
          <w:tcPr>
            <w:gridSpan w:val="3"/>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健身房</w:t>
            </w:r>
          </w:p>
        </w:tc>
        <w:tc>
          <w:tcPr>
            <w:gridSpan w:val="2"/>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1.10</w:t>
            </w:r>
          </w:p>
        </w:tc>
        <w:tc>
          <w:tcPr>
            <w:gridSpan w:val="3"/>
            <w:vAlign w:val="center"/>
          </w:tcPr>
          <w:p>
            <w:pPr>
              <w:jc w:val="center"/>
              <w:rPr>
                <w:sz w:val="18"/>
                <w:szCs w:val="18"/>
              </w:rPr>
            </w:pPr>
            <w:r>
              <w:rPr>
                <w:sz w:val="18"/>
                <w:szCs w:val="18"/>
              </w:rPr>
              <w:t>－</w:t>
            </w:r>
          </w:p>
        </w:tc>
        <w:tc>
          <w:tcPr>
            <w:gridSpan w:val="2"/>
            <w:vAlign w:val="center"/>
          </w:tcPr>
          <w:p>
            <w:pPr>
              <w:jc w:val="center"/>
              <w:rPr>
                <w:sz w:val="18"/>
                <w:szCs w:val="18"/>
              </w:rPr>
            </w:pPr>
            <w:r>
              <w:rPr>
                <w:sz w:val="18"/>
                <w:szCs w:val="18"/>
              </w:rPr>
              <w:t>65.70</w:t>
            </w:r>
          </w:p>
        </w:tc>
        <w:tc>
          <w:tcPr>
            <w:gridSpan w:val="2"/>
            <w:vAlign w:val="center"/>
          </w:tcPr>
          <w:p>
            <w:pPr>
              <w:jc w:val="center"/>
              <w:rPr>
                <w:sz w:val="18"/>
                <w:szCs w:val="18"/>
              </w:rPr>
            </w:pPr>
            <w:r>
              <w:rPr>
                <w:sz w:val="18"/>
                <w:szCs w:val="18"/>
              </w:rPr>
              <w:t>64.22</w:t>
            </w:r>
          </w:p>
        </w:tc>
        <w:tc>
          <w:tcPr>
            <w:gridSpan w:val="3"/>
            <w:vAlign w:val="center"/>
          </w:tcPr>
          <w:p>
            <w:pPr>
              <w:jc w:val="center"/>
              <w:rPr>
                <w:sz w:val="18"/>
                <w:szCs w:val="18"/>
              </w:rPr>
            </w:pPr>
            <w:r>
              <w:rPr>
                <w:sz w:val="18"/>
                <w:szCs w:val="18"/>
              </w:rPr>
              <w:t>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一般病房</w:t>
            </w:r>
          </w:p>
        </w:tc>
        <w:tc>
          <w:tcPr>
            <w:gridSpan w:val="2"/>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1.10</w:t>
            </w:r>
          </w:p>
        </w:tc>
        <w:tc>
          <w:tcPr>
            <w:gridSpan w:val="3"/>
            <w:vAlign w:val="center"/>
          </w:tcPr>
          <w:p>
            <w:pPr>
              <w:jc w:val="center"/>
              <w:rPr>
                <w:sz w:val="18"/>
                <w:szCs w:val="18"/>
              </w:rPr>
            </w:pPr>
            <w:r>
              <w:rPr>
                <w:sz w:val="18"/>
                <w:szCs w:val="18"/>
              </w:rPr>
              <w:t>－</w:t>
            </w:r>
          </w:p>
        </w:tc>
        <w:tc>
          <w:tcPr>
            <w:gridSpan w:val="2"/>
            <w:vAlign w:val="center"/>
          </w:tcPr>
          <w:p>
            <w:pPr>
              <w:jc w:val="center"/>
              <w:rPr>
                <w:sz w:val="18"/>
                <w:szCs w:val="18"/>
              </w:rPr>
            </w:pPr>
            <w:r>
              <w:rPr>
                <w:sz w:val="18"/>
                <w:szCs w:val="18"/>
              </w:rPr>
              <w:t>12.43</w:t>
            </w:r>
          </w:p>
        </w:tc>
        <w:tc>
          <w:tcPr>
            <w:gridSpan w:val="2"/>
            <w:vAlign w:val="center"/>
          </w:tcPr>
          <w:p>
            <w:pPr>
              <w:jc w:val="center"/>
              <w:rPr>
                <w:sz w:val="18"/>
                <w:szCs w:val="18"/>
              </w:rPr>
            </w:pPr>
            <w:r>
              <w:rPr>
                <w:sz w:val="18"/>
                <w:szCs w:val="18"/>
              </w:rPr>
              <w:t>11.72</w:t>
            </w:r>
          </w:p>
        </w:tc>
        <w:tc>
          <w:tcPr>
            <w:gridSpan w:val="3"/>
            <w:vAlign w:val="center"/>
          </w:tcPr>
          <w:p>
            <w:pPr>
              <w:jc w:val="center"/>
              <w:rPr>
                <w:sz w:val="18"/>
                <w:szCs w:val="18"/>
              </w:rPr>
            </w:pPr>
            <w:r>
              <w:rPr>
                <w:sz w:val="18"/>
                <w:szCs w:val="18"/>
              </w:rPr>
              <w:t>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诊室</w:t>
            </w:r>
          </w:p>
        </w:tc>
        <w:tc>
          <w:tcPr>
            <w:gridSpan w:val="2"/>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2.20</w:t>
            </w:r>
          </w:p>
        </w:tc>
        <w:tc>
          <w:tcPr>
            <w:gridSpan w:val="3"/>
            <w:vAlign w:val="center"/>
          </w:tcPr>
          <w:p>
            <w:pPr>
              <w:jc w:val="center"/>
              <w:rPr>
                <w:sz w:val="18"/>
                <w:szCs w:val="18"/>
              </w:rPr>
            </w:pPr>
            <w:r>
              <w:rPr>
                <w:sz w:val="18"/>
                <w:szCs w:val="18"/>
              </w:rPr>
              <w:t>－</w:t>
            </w:r>
          </w:p>
        </w:tc>
        <w:tc>
          <w:tcPr>
            <w:gridSpan w:val="2"/>
            <w:vAlign w:val="center"/>
          </w:tcPr>
          <w:p>
            <w:pPr>
              <w:jc w:val="center"/>
              <w:rPr>
                <w:sz w:val="18"/>
                <w:szCs w:val="18"/>
              </w:rPr>
            </w:pPr>
            <w:r>
              <w:rPr>
                <w:sz w:val="18"/>
                <w:szCs w:val="18"/>
              </w:rPr>
              <w:t>9.76</w:t>
            </w:r>
          </w:p>
        </w:tc>
        <w:tc>
          <w:tcPr>
            <w:gridSpan w:val="2"/>
            <w:vAlign w:val="center"/>
          </w:tcPr>
          <w:p>
            <w:pPr>
              <w:jc w:val="center"/>
              <w:rPr>
                <w:sz w:val="18"/>
                <w:szCs w:val="18"/>
              </w:rPr>
            </w:pPr>
            <w:r>
              <w:rPr>
                <w:sz w:val="18"/>
                <w:szCs w:val="18"/>
              </w:rPr>
              <w:t>9.76</w:t>
            </w:r>
          </w:p>
        </w:tc>
        <w:tc>
          <w:tcPr>
            <w:gridSpan w:val="3"/>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专用教室</w:t>
            </w:r>
          </w:p>
        </w:tc>
        <w:tc>
          <w:tcPr>
            <w:gridSpan w:val="2"/>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2.20</w:t>
            </w:r>
          </w:p>
        </w:tc>
        <w:tc>
          <w:tcPr>
            <w:gridSpan w:val="3"/>
            <w:vAlign w:val="center"/>
          </w:tcPr>
          <w:p>
            <w:pPr>
              <w:jc w:val="center"/>
              <w:rPr>
                <w:sz w:val="18"/>
                <w:szCs w:val="18"/>
              </w:rPr>
            </w:pPr>
            <w:r>
              <w:rPr>
                <w:sz w:val="18"/>
                <w:szCs w:val="18"/>
              </w:rPr>
              <w:t>－</w:t>
            </w:r>
          </w:p>
        </w:tc>
        <w:tc>
          <w:tcPr>
            <w:gridSpan w:val="2"/>
            <w:vAlign w:val="center"/>
          </w:tcPr>
          <w:p>
            <w:pPr>
              <w:jc w:val="center"/>
              <w:rPr>
                <w:sz w:val="18"/>
                <w:szCs w:val="18"/>
              </w:rPr>
            </w:pPr>
            <w:r>
              <w:rPr>
                <w:sz w:val="18"/>
                <w:szCs w:val="18"/>
              </w:rPr>
              <w:t>27.52</w:t>
            </w:r>
          </w:p>
        </w:tc>
        <w:tc>
          <w:tcPr>
            <w:gridSpan w:val="2"/>
            <w:vAlign w:val="center"/>
          </w:tcPr>
          <w:p>
            <w:pPr>
              <w:jc w:val="center"/>
              <w:rPr>
                <w:sz w:val="18"/>
                <w:szCs w:val="18"/>
              </w:rPr>
            </w:pPr>
            <w:r>
              <w:rPr>
                <w:sz w:val="18"/>
                <w:szCs w:val="18"/>
              </w:rPr>
              <w:t>24.99</w:t>
            </w:r>
          </w:p>
        </w:tc>
        <w:tc>
          <w:tcPr>
            <w:gridSpan w:val="3"/>
            <w:vAlign w:val="center"/>
          </w:tcPr>
          <w:p>
            <w:pPr>
              <w:jc w:val="center"/>
              <w:rPr>
                <w:sz w:val="18"/>
                <w:szCs w:val="18"/>
              </w:rPr>
            </w:pPr>
            <w:r>
              <w:rPr>
                <w:sz w:val="18"/>
                <w:szCs w:val="18"/>
              </w:rPr>
              <w:t>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普通教室</w:t>
            </w:r>
          </w:p>
        </w:tc>
        <w:tc>
          <w:tcPr>
            <w:gridSpan w:val="2"/>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3.30</w:t>
            </w:r>
          </w:p>
        </w:tc>
        <w:tc>
          <w:tcPr>
            <w:gridSpan w:val="3"/>
            <w:vAlign w:val="center"/>
          </w:tcPr>
          <w:p>
            <w:pPr>
              <w:jc w:val="center"/>
              <w:rPr>
                <w:sz w:val="18"/>
                <w:szCs w:val="18"/>
              </w:rPr>
            </w:pPr>
            <w:r>
              <w:rPr>
                <w:sz w:val="18"/>
                <w:szCs w:val="18"/>
              </w:rPr>
              <w:t>450</w:t>
            </w:r>
          </w:p>
        </w:tc>
        <w:tc>
          <w:tcPr>
            <w:gridSpan w:val="2"/>
            <w:vAlign w:val="center"/>
          </w:tcPr>
          <w:p>
            <w:pPr>
              <w:jc w:val="center"/>
              <w:rPr>
                <w:sz w:val="18"/>
                <w:szCs w:val="18"/>
              </w:rPr>
            </w:pPr>
            <w:r>
              <w:rPr>
                <w:sz w:val="18"/>
                <w:szCs w:val="18"/>
              </w:rPr>
              <w:t>46.65</w:t>
            </w:r>
          </w:p>
        </w:tc>
        <w:tc>
          <w:tcPr>
            <w:gridSpan w:val="2"/>
            <w:vAlign w:val="center"/>
          </w:tcPr>
          <w:p>
            <w:pPr>
              <w:jc w:val="center"/>
              <w:rPr>
                <w:sz w:val="18"/>
                <w:szCs w:val="18"/>
              </w:rPr>
            </w:pPr>
            <w:r>
              <w:rPr>
                <w:sz w:val="18"/>
                <w:szCs w:val="18"/>
              </w:rPr>
              <w:t>0.00</w:t>
            </w:r>
          </w:p>
        </w:tc>
        <w:tc>
          <w:tcPr>
            <w:gridSpan w:val="3"/>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3.30</w:t>
            </w:r>
          </w:p>
        </w:tc>
        <w:tc>
          <w:tcPr>
            <w:gridSpan w:val="3"/>
            <w:vAlign w:val="center"/>
          </w:tcPr>
          <w:p>
            <w:pPr>
              <w:jc w:val="center"/>
              <w:rPr>
                <w:sz w:val="18"/>
                <w:szCs w:val="18"/>
              </w:rPr>
            </w:pPr>
            <w:r>
              <w:rPr>
                <w:sz w:val="18"/>
                <w:szCs w:val="18"/>
              </w:rPr>
              <w:t>450</w:t>
            </w:r>
          </w:p>
        </w:tc>
        <w:tc>
          <w:tcPr>
            <w:gridSpan w:val="2"/>
            <w:vAlign w:val="center"/>
          </w:tcPr>
          <w:p>
            <w:pPr>
              <w:jc w:val="center"/>
              <w:rPr>
                <w:sz w:val="18"/>
                <w:szCs w:val="18"/>
              </w:rPr>
            </w:pPr>
            <w:r>
              <w:rPr>
                <w:sz w:val="18"/>
                <w:szCs w:val="18"/>
              </w:rPr>
              <w:t>59.33</w:t>
            </w:r>
          </w:p>
        </w:tc>
        <w:tc>
          <w:tcPr>
            <w:gridSpan w:val="2"/>
            <w:vAlign w:val="center"/>
          </w:tcPr>
          <w:p>
            <w:pPr>
              <w:jc w:val="center"/>
              <w:rPr>
                <w:sz w:val="18"/>
                <w:szCs w:val="18"/>
              </w:rPr>
            </w:pPr>
            <w:r>
              <w:rPr>
                <w:sz w:val="18"/>
                <w:szCs w:val="18"/>
              </w:rPr>
              <w:t>59.33</w:t>
            </w:r>
          </w:p>
        </w:tc>
        <w:tc>
          <w:tcPr>
            <w:gridSpan w:val="3"/>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档案室</w:t>
            </w:r>
          </w:p>
        </w:tc>
        <w:tc>
          <w:tcPr>
            <w:gridSpan w:val="2"/>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1.10</w:t>
            </w:r>
          </w:p>
        </w:tc>
        <w:tc>
          <w:tcPr>
            <w:gridSpan w:val="3"/>
            <w:vAlign w:val="center"/>
          </w:tcPr>
          <w:p>
            <w:pPr>
              <w:jc w:val="center"/>
              <w:rPr>
                <w:sz w:val="18"/>
                <w:szCs w:val="18"/>
              </w:rPr>
            </w:pPr>
            <w:r>
              <w:rPr>
                <w:sz w:val="18"/>
                <w:szCs w:val="18"/>
              </w:rPr>
              <w:t>－</w:t>
            </w:r>
          </w:p>
        </w:tc>
        <w:tc>
          <w:tcPr>
            <w:gridSpan w:val="2"/>
            <w:vAlign w:val="center"/>
          </w:tcPr>
          <w:p>
            <w:pPr>
              <w:jc w:val="center"/>
              <w:rPr>
                <w:sz w:val="18"/>
                <w:szCs w:val="18"/>
              </w:rPr>
            </w:pPr>
            <w:r>
              <w:rPr>
                <w:sz w:val="18"/>
                <w:szCs w:val="18"/>
              </w:rPr>
              <w:t>9.76</w:t>
            </w:r>
          </w:p>
        </w:tc>
        <w:tc>
          <w:tcPr>
            <w:gridSpan w:val="2"/>
            <w:vAlign w:val="center"/>
          </w:tcPr>
          <w:p>
            <w:pPr>
              <w:jc w:val="center"/>
              <w:rPr>
                <w:sz w:val="18"/>
                <w:szCs w:val="18"/>
              </w:rPr>
            </w:pPr>
            <w:r>
              <w:rPr>
                <w:sz w:val="18"/>
                <w:szCs w:val="18"/>
              </w:rPr>
              <w:t>9.76</w:t>
            </w:r>
          </w:p>
        </w:tc>
        <w:tc>
          <w:tcPr>
            <w:gridSpan w:val="3"/>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pPr>
              <w:jc w:val="center"/>
              <w:rPr>
                <w:sz w:val="18"/>
                <w:szCs w:val="18"/>
              </w:rPr>
            </w:pPr>
            <w:r>
              <w:rPr>
                <w:sz w:val="18"/>
                <w:szCs w:val="18"/>
              </w:rPr>
              <w:t>总计达标面积比例(%)</w:t>
            </w:r>
          </w:p>
        </w:tc>
        <w:tc>
          <w:tcPr>
            <w:gridSpan w:val="7"/>
            <w:vAlign w:val="center"/>
          </w:tcPr>
          <w:p>
            <w:pPr>
              <w:jc w:val="center"/>
              <w:rPr>
                <w:sz w:val="18"/>
                <w:szCs w:val="18"/>
              </w:rPr>
            </w:pPr>
            <w:r>
              <w:rPr>
                <w:sz w:val="18"/>
                <w:szCs w:val="18"/>
              </w:rPr>
              <w:t>78</w:t>
            </w:r>
          </w:p>
        </w:tc>
      </w:tr>
    </w:tbl>
    <w:p>
      <w:pPr>
        <w:pStyle w:val="3"/>
        <w:ind w:firstLine="0" w:firstLineChars="0"/>
        <w:rPr>
          <w:rFonts w:ascii="宋体" w:hAnsi="宋体"/>
          <w:sz w:val="18"/>
          <w:szCs w:val="18"/>
          <w:lang w:val="en-US"/>
        </w:rPr>
      </w:pPr>
      <w:bookmarkStart w:id="63" w:name="达标率表格"/>
      <w:bookmarkEnd w:id="63"/>
    </w:p>
    <w:p>
      <w:pPr>
        <w:pStyle w:val="2"/>
      </w:pPr>
      <w:bookmarkStart w:id="64" w:name="_Toc422822730"/>
      <w:r>
        <w:rPr>
          <w:rFonts w:hint="eastAsia"/>
        </w:rPr>
        <w:t>达标率彩图</w:t>
      </w:r>
      <w:bookmarkEnd w:id="64"/>
    </w:p>
    <w:p>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pPr>
        <w:jc w:val="center"/>
        <w:rPr>
          <w:sz w:val="18"/>
          <w:szCs w:val="18"/>
          <w:lang w:val="en-US"/>
        </w:rPr>
      </w:pPr>
      <w:bookmarkStart w:id="65" w:name="达标图"/>
      <w:bookmarkEnd w:id="65"/>
    </w:p>
    <w:p>
      <w:pPr>
        <w:jc w:val="center"/>
        <w:rPr>
          <w:sz w:val="18"/>
          <w:lang w:val="en-US"/>
        </w:rPr>
      </w:pPr>
      <w:r>
        <w:drawing>
          <wp:inline distT="0" distB="0" distL="0" distR="0">
            <wp:extent cx="5667375" cy="39243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8"/>
                    <a:stretch>
                      <a:fillRect/>
                    </a:stretch>
                  </pic:blipFill>
                  <pic:spPr>
                    <a:xfrm>
                      <a:off x="0" y="0"/>
                      <a:ext cx="5667375" cy="3924300"/>
                    </a:xfrm>
                    <a:prstGeom prst="rect">
                      <a:avLst/>
                    </a:prstGeom>
                  </pic:spPr>
                </pic:pic>
              </a:graphicData>
            </a:graphic>
          </wp:inline>
        </w:drawing>
      </w:r>
    </w:p>
    <w:p>
      <w:pPr>
        <w:jc w:val="center"/>
        <w:rPr>
          <w:sz w:val="18"/>
          <w:lang w:val="en-US"/>
        </w:rPr>
      </w:pPr>
      <w:r>
        <w:rPr>
          <w:sz w:val="18"/>
          <w:lang w:val="en-US"/>
        </w:rPr>
        <w:t>1层</w:t>
      </w:r>
    </w:p>
    <w:p>
      <w:pPr>
        <w:jc w:val="center"/>
        <w:rPr>
          <w:sz w:val="18"/>
          <w:lang w:val="en-US"/>
        </w:rPr>
      </w:pPr>
      <w:r>
        <w:drawing>
          <wp:inline distT="0" distB="0" distL="0" distR="0">
            <wp:extent cx="5667375" cy="39338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9"/>
                    <a:stretch>
                      <a:fillRect/>
                    </a:stretch>
                  </pic:blipFill>
                  <pic:spPr>
                    <a:xfrm>
                      <a:off x="0" y="0"/>
                      <a:ext cx="5667375" cy="3933825"/>
                    </a:xfrm>
                    <a:prstGeom prst="rect">
                      <a:avLst/>
                    </a:prstGeom>
                  </pic:spPr>
                </pic:pic>
              </a:graphicData>
            </a:graphic>
          </wp:inline>
        </w:drawing>
      </w:r>
    </w:p>
    <w:p>
      <w:pPr>
        <w:jc w:val="center"/>
        <w:rPr>
          <w:sz w:val="18"/>
          <w:lang w:val="en-US"/>
        </w:rPr>
      </w:pPr>
      <w:r>
        <w:rPr>
          <w:sz w:val="18"/>
          <w:lang w:val="en-US"/>
        </w:rPr>
        <w:t>2层</w:t>
      </w:r>
    </w:p>
    <w:p>
      <w:pPr>
        <w:jc w:val="center"/>
        <w:rPr>
          <w:sz w:val="18"/>
          <w:lang w:val="en-US"/>
        </w:rPr>
      </w:pPr>
    </w:p>
    <w:p>
      <w:pPr>
        <w:pStyle w:val="2"/>
      </w:pPr>
      <w:bookmarkStart w:id="66" w:name="_Toc422822731"/>
      <w:r>
        <w:rPr>
          <w:rFonts w:hint="eastAsia"/>
        </w:rPr>
        <w:t>评价结论</w:t>
      </w:r>
      <w:bookmarkEnd w:id="66"/>
    </w:p>
    <w:p>
      <w:pPr>
        <w:ind w:firstLine="420" w:firstLineChars="200"/>
      </w:pPr>
      <w:r>
        <w:t>根据</w:t>
      </w:r>
      <w:bookmarkStart w:id="67" w:name="标准名称4"/>
      <w:r>
        <w:t>《绿色建筑评价标准》GB/T 50378-2019</w:t>
      </w:r>
      <w:bookmarkEnd w:id="67"/>
      <w:r>
        <w:rPr>
          <w:rFonts w:hint="eastAsia"/>
        </w:rPr>
        <w:t>要求，需统计公共建筑内区采光达标面积比例作为得分依据，本项目中</w:t>
      </w:r>
      <w:r>
        <w:t>建筑</w:t>
      </w:r>
      <w:r>
        <w:rPr>
          <w:rFonts w:hint="eastAsia"/>
        </w:rPr>
        <w:t>内区采光情况统计</w:t>
      </w:r>
      <w:r>
        <w:t>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pPr>
              <w:jc w:val="center"/>
            </w:pPr>
            <w:r>
              <w:t>内区总面积（</w:t>
            </w:r>
            <w:r>
              <w:rPr>
                <w:rFonts w:hint="eastAsia"/>
              </w:rPr>
              <w:t>m</w:t>
            </w:r>
            <w:r>
              <w:rPr>
                <w:vertAlign w:val="superscript"/>
              </w:rPr>
              <w:t>2</w:t>
            </w:r>
            <w:r>
              <w:t>）</w:t>
            </w:r>
          </w:p>
        </w:tc>
        <w:tc>
          <w:tcPr>
            <w:tcW w:w="2408" w:type="dxa"/>
            <w:shd w:val="clear" w:color="auto" w:fill="E6E6E6"/>
            <w:vAlign w:val="center"/>
          </w:tcPr>
          <w:p>
            <w:pPr>
              <w:jc w:val="center"/>
            </w:pPr>
            <w:r>
              <w:t>达标面积（</w:t>
            </w:r>
            <w:r>
              <w:rPr>
                <w:rFonts w:hint="eastAsia"/>
              </w:rPr>
              <w:t>m</w:t>
            </w:r>
            <w:r>
              <w:rPr>
                <w:vertAlign w:val="superscript"/>
              </w:rPr>
              <w:t>2</w:t>
            </w:r>
            <w:r>
              <w:t>）</w:t>
            </w:r>
          </w:p>
        </w:tc>
        <w:tc>
          <w:tcPr>
            <w:tcW w:w="2270" w:type="dxa"/>
            <w:shd w:val="clear" w:color="auto" w:fill="E6E6E6"/>
            <w:vAlign w:val="center"/>
          </w:tcPr>
          <w:p>
            <w:pPr>
              <w:jc w:val="center"/>
            </w:pPr>
            <w:r>
              <w:t>面积比例R</w:t>
            </w:r>
            <w:r>
              <w:rPr>
                <w:vertAlign w:val="subscript"/>
              </w:rPr>
              <w:t>A</w:t>
            </w:r>
            <w:r>
              <w:t>（%）</w:t>
            </w:r>
          </w:p>
        </w:tc>
        <w:tc>
          <w:tcPr>
            <w:tcW w:w="1805" w:type="dxa"/>
            <w:shd w:val="clear" w:color="auto" w:fill="E6E6E6"/>
            <w:vAlign w:val="center"/>
          </w:tcPr>
          <w:p>
            <w:pPr>
              <w:jc w:val="center"/>
            </w:pPr>
            <w: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pPr>
              <w:jc w:val="center"/>
            </w:pPr>
            <w:bookmarkStart w:id="68" w:name="采光面积"/>
            <w:r>
              <w:rPr>
                <w:rFonts w:hint="eastAsia"/>
              </w:rPr>
              <w:t>359.81</w:t>
            </w:r>
            <w:bookmarkEnd w:id="68"/>
          </w:p>
        </w:tc>
        <w:tc>
          <w:tcPr>
            <w:tcW w:w="2408" w:type="dxa"/>
            <w:vAlign w:val="center"/>
          </w:tcPr>
          <w:p>
            <w:pPr>
              <w:jc w:val="center"/>
            </w:pPr>
            <w:bookmarkStart w:id="69" w:name="达标面积"/>
            <w:r>
              <w:rPr>
                <w:rFonts w:hint="eastAsia"/>
              </w:rPr>
              <w:t>281.33</w:t>
            </w:r>
            <w:bookmarkEnd w:id="69"/>
          </w:p>
        </w:tc>
        <w:tc>
          <w:tcPr>
            <w:tcW w:w="2270" w:type="dxa"/>
            <w:vAlign w:val="center"/>
          </w:tcPr>
          <w:p>
            <w:pPr>
              <w:jc w:val="center"/>
            </w:pPr>
            <w:bookmarkStart w:id="70" w:name="达标率"/>
            <w:r>
              <w:rPr>
                <w:rFonts w:hint="eastAsia"/>
              </w:rPr>
              <w:t>78</w:t>
            </w:r>
            <w:bookmarkEnd w:id="70"/>
          </w:p>
        </w:tc>
        <w:tc>
          <w:tcPr>
            <w:tcW w:w="1805" w:type="dxa"/>
            <w:vAlign w:val="center"/>
          </w:tcPr>
          <w:p>
            <w:pPr>
              <w:jc w:val="center"/>
            </w:pPr>
            <w:bookmarkStart w:id="71" w:name="达标率得分"/>
            <w:r>
              <w:rPr>
                <w:rFonts w:hint="eastAsia"/>
              </w:rPr>
              <w:t>3</w:t>
            </w:r>
            <w:bookmarkEnd w:id="71"/>
          </w:p>
        </w:tc>
      </w:tr>
    </w:tbl>
    <w:p>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微软雅黑">
    <w:altName w:val="汉仪旗黑KW 55S"/>
    <w:panose1 w:val="020B0503020204020204"/>
    <w:charset w:val="86"/>
    <w:family w:val="swiss"/>
    <w:pitch w:val="default"/>
    <w:sig w:usb0="00000000" w:usb1="00000000" w:usb2="00000016" w:usb3="00000000" w:csb0="0004001F" w:csb1="00000000"/>
  </w:font>
  <w:font w:name="仿宋_GB2312">
    <w:altName w:val="汉仪仿宋KW"/>
    <w:panose1 w:val="00000000000000000000"/>
    <w:charset w:val="86"/>
    <w:family w:val="modern"/>
    <w:pitch w:val="default"/>
    <w:sig w:usb0="00000000" w:usb1="00000000" w:usb2="00000010" w:usb3="00000000" w:csb0="00040000" w:csb1="00000000"/>
  </w:font>
  <w:font w:name="汉仪旗黑KW 55S">
    <w:panose1 w:val="00020600040101010101"/>
    <w:charset w:val="86"/>
    <w:family w:val="auto"/>
    <w:pitch w:val="default"/>
    <w:sig w:usb0="A00002BF" w:usb1="3ACF7CFA" w:usb2="00000016" w:usb3="00000000" w:csb0="0004009F" w:csb1="DFD70000"/>
  </w:font>
  <w:font w:name="汉仪仿宋KW">
    <w:panose1 w:val="00020600040101010101"/>
    <w:charset w:val="86"/>
    <w:family w:val="auto"/>
    <w:pitch w:val="default"/>
    <w:sig w:usb0="A00002BF" w:usb1="18EF7CFA" w:usb2="00000016" w:usb3="00000000" w:csb0="00040000" w:csb1="00000000"/>
  </w:font>
  <w:font w:name="微软雅黑">
    <w:altName w:val="汉仪旗黑KW 55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27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1E4C09"/>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2D1E4C09"/>
    <w:rsid w:val="FDBF98A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uiPriority w:val="0"/>
    <w:pPr>
      <w:tabs>
        <w:tab w:val="center" w:pos="4153"/>
        <w:tab w:val="right" w:pos="8306"/>
      </w:tabs>
    </w:pPr>
    <w:rPr>
      <w:szCs w:val="18"/>
    </w:rPr>
  </w:style>
  <w:style w:type="paragraph" w:styleId="18">
    <w:name w:val="header"/>
    <w:basedOn w:val="1"/>
    <w:link w:val="31"/>
    <w:uiPriority w:val="99"/>
    <w:pPr>
      <w:pBdr>
        <w:bottom w:val="single" w:color="auto" w:sz="6" w:space="1"/>
      </w:pBdr>
      <w:tabs>
        <w:tab w:val="center" w:pos="4153"/>
        <w:tab w:val="right" w:pos="8306"/>
      </w:tabs>
    </w:pPr>
    <w:rPr>
      <w:szCs w:val="18"/>
    </w:rPr>
  </w:style>
  <w:style w:type="paragraph" w:styleId="19">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20">
    <w:name w:val="toc 2"/>
    <w:basedOn w:val="1"/>
    <w:next w:val="1"/>
    <w:semiHidden/>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0"/>
    <w:rPr>
      <w:color w:val="0000FF"/>
      <w:u w:val="single"/>
    </w:rPr>
  </w:style>
  <w:style w:type="character" w:styleId="26">
    <w:name w:val="annotation reference"/>
    <w:semiHidden/>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uiPriority w:val="0"/>
    <w:pPr>
      <w:spacing w:before="100" w:beforeAutospacing="1" w:after="100" w:afterAutospacing="1"/>
    </w:pPr>
    <w:rPr>
      <w:rFonts w:ascii="宋体" w:hAnsi="宋体" w:cs="宋体"/>
      <w:szCs w:val="18"/>
      <w:lang w:val="en-US"/>
    </w:rPr>
  </w:style>
  <w:style w:type="character" w:customStyle="1" w:styleId="31">
    <w:name w:val="页眉 字符"/>
    <w:link w:val="18"/>
    <w:uiPriority w:val="99"/>
    <w:rPr>
      <w:sz w:val="18"/>
      <w:szCs w:val="18"/>
      <w:lang w:val="en-GB"/>
    </w:rPr>
  </w:style>
  <w:style w:type="character" w:customStyle="1" w:styleId="32">
    <w:name w:val="Char Char5"/>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tmp/webword_3344831142/C:\Users\&#29590;&#32718;\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Company>市人力资源和社会保障局</Company>
  <Pages>8</Pages>
  <Words>3377</Words>
  <Characters>4691</Characters>
  <Lines>21</Lines>
  <Paragraphs>6</Paragraphs>
  <TotalTime>254</TotalTime>
  <ScaleCrop>false</ScaleCrop>
  <LinksUpToDate>false</LinksUpToDate>
  <CharactersWithSpaces>4760</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2024-12-16T12:40:00Z</dcterms:created>
  <dc:creator>WPS_1732246083</dc:creator>
  <cp:lastModifiedBy>WPS_1732246083</cp:lastModifiedBy>
  <dcterms:modified xsi:type="dcterms:W3CDTF">2024-12-25T13:24:54Z</dcterms:modified>
  <dc:title>公建内区采光分析报告书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24C20EB021DB4C128467A29EAE6B6D7B_11</vt:lpwstr>
  </property>
  <property fmtid="{D5CDD505-2E9C-101B-9397-08002B2CF9AE}" pid="3" name="KSOProductBuildVer">
    <vt:lpwstr>2052-0.0.0.0</vt:lpwstr>
  </property>
</Properties>
</file>