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ascii="宋体" w:hAnsi="宋体"/>
                <w:szCs w:val="21"/>
                <w:woUserID w:val="1"/>
              </w:rPr>
              <w:t>官寺村党群服务中心</w:t>
            </w:r>
            <w:bookmarkStart w:id="57" w:name="_GoBack"/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南阳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2024年12月21日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住区热环境TERA2024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20240430(SP1)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T13403850586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_Toc4547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_Toc27608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_Toc27608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_Toc5245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_Toc5245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_Toc28299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_Toc28299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_Toc14940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_Toc1837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_Toc5474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_Toc15481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_Toc10559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_Toc10559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_Toc372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_Toc11941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_Toc11941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_Toc406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_Toc406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_Toc17763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_Toc8076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_Toc19986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_Toc17005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_Toc17005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4547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hint="eastAsia" w:ascii="宋体" w:hAnsi="宋体"/>
              </w:rPr>
              <w:t>织·连里——基于绿色发展与生态文明导向的党群服务中心设计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南阳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33.00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112.53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区"/>
            <w:r>
              <w:t>IIIC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主导风向"/>
            <w:r>
              <w:t>南</w:t>
            </w:r>
            <w:bookmarkEnd w:id="16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27608"/>
      <w:bookmarkStart w:id="22" w:name="TitleFormat"/>
      <w:r>
        <w:rPr>
          <w:rFonts w:hint="eastAsia"/>
        </w:rPr>
        <w:t>设计依据</w:t>
      </w:r>
      <w:bookmarkEnd w:id="21"/>
    </w:p>
    <w:bookmarkEnd w:id="22"/>
    <w:p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3"/>
    </w:p>
    <w:p>
      <w:pPr>
        <w:pStyle w:val="2"/>
      </w:pPr>
      <w:bookmarkStart w:id="24" w:name="_Toc5245"/>
      <w:r>
        <w:rPr>
          <w:rFonts w:hint="eastAsia"/>
        </w:rPr>
        <w:t>计算规定</w:t>
      </w:r>
      <w:bookmarkEnd w:id="24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5" w:name="_Toc28299"/>
      <w:r>
        <w:rPr>
          <w:rFonts w:hint="eastAsia"/>
        </w:rPr>
        <w:t>强制条文</w:t>
      </w:r>
      <w:bookmarkEnd w:id="25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6" w:name="_Toc14940"/>
      <w:r>
        <w:rPr>
          <w:rFonts w:hint="eastAsia"/>
        </w:rPr>
        <w:t>规定性设计</w:t>
      </w:r>
      <w:bookmarkEnd w:id="26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7" w:name="_Toc1837"/>
      <w:r>
        <w:rPr>
          <w:rFonts w:hint="eastAsia"/>
        </w:rPr>
        <w:t>计算参数</w:t>
      </w:r>
      <w:bookmarkEnd w:id="27"/>
    </w:p>
    <w:p>
      <w:pPr>
        <w:pStyle w:val="4"/>
      </w:pPr>
      <w:bookmarkStart w:id="28" w:name="_Toc5474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202.78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555.56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519.44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182.64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>
      <w:pPr>
        <w:pStyle w:val="4"/>
      </w:pPr>
      <w:bookmarkStart w:id="30" w:name="_Toc15481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>
      <w:pPr>
        <w:pStyle w:val="2"/>
      </w:pPr>
      <w:bookmarkStart w:id="32" w:name="_Toc767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11895.96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10004.81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860.83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937.29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3844.24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688.11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住区指标概览"/>
      <w:bookmarkEnd w:id="33"/>
    </w:p>
    <w:p>
      <w:pPr>
        <w:pStyle w:val="2"/>
      </w:pPr>
      <w:bookmarkStart w:id="34" w:name="_Toc10559"/>
      <w:r>
        <w:rPr>
          <w:rFonts w:hint="eastAsia"/>
        </w:rPr>
        <w:t>强制性</w:t>
      </w:r>
      <w:r>
        <w:t>设计指标</w:t>
      </w:r>
      <w:bookmarkEnd w:id="34"/>
    </w:p>
    <w:p>
      <w:pPr>
        <w:pStyle w:val="4"/>
      </w:pPr>
      <w:bookmarkStart w:id="35" w:name="_Toc372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平屋顶检查版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444.40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538.95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0.8246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片墙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11941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2229.3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5292.9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342.6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371.6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167.7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2"/>
      </w:pPr>
      <w:bookmarkStart w:id="39" w:name="_Toc406"/>
      <w:r>
        <w:rPr>
          <w:rFonts w:hint="eastAsia"/>
        </w:rPr>
        <w:t>规定性设计指标</w:t>
      </w:r>
      <w:bookmarkEnd w:id="39"/>
    </w:p>
    <w:p>
      <w:pPr>
        <w:pStyle w:val="4"/>
      </w:pPr>
      <w:bookmarkStart w:id="40" w:name="_Toc17763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平屋顶检查版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片墙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8076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19986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0.908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3.06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17005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平屋顶检查版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974.0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片墙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974.0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198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Noto Serif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A7251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57EA7251"/>
    <w:rsid w:val="CFD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1941096307/C:\Users\86134\AppData\Local\Temp\tmp5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2264</Words>
  <Characters>3517</Characters>
  <Lines>20</Lines>
  <Paragraphs>5</Paragraphs>
  <TotalTime>5</TotalTime>
  <ScaleCrop>false</ScaleCrop>
  <LinksUpToDate>false</LinksUpToDate>
  <CharactersWithSpaces>4991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2024-12-21T03:06:00Z</dcterms:created>
  <dc:creator>PYD.X</dc:creator>
  <cp:lastModifiedBy>PYD.X</cp:lastModifiedBy>
  <dcterms:modified xsi:type="dcterms:W3CDTF">2024-12-26T10:00:41Z</dcterms:modified>
  <dc:title>住区热环境规定性设计计算书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9D82C0BC6E864BFAB16C934A01359009_11</vt:lpwstr>
  </property>
  <property fmtid="{D5CDD505-2E9C-101B-9397-08002B2CF9AE}" pid="3" name="KSOProductBuildVer">
    <vt:lpwstr>2052-0.0.0.0</vt:lpwstr>
  </property>
</Properties>
</file>