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0140">
      <w:pPr>
        <w:widowControl w:val="0"/>
        <w:spacing w:after="312" w:afterLines="100"/>
        <w:jc w:val="center"/>
        <w:rPr>
          <w:rFonts w:ascii="宋体" w:hAnsi="宋体"/>
          <w:b/>
          <w:bCs/>
          <w:kern w:val="2"/>
          <w:sz w:val="30"/>
          <w:szCs w:val="24"/>
          <w:lang w:val="en-US"/>
        </w:rPr>
      </w:pPr>
      <w:bookmarkStart w:id="75" w:name="_GoBack"/>
      <w:bookmarkEnd w:id="75"/>
    </w:p>
    <w:p w14:paraId="4A7EBA8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地下室采光分析报告书</w:t>
      </w:r>
    </w:p>
    <w:p w14:paraId="7AC6E748">
      <w:pPr>
        <w:spacing w:line="180" w:lineRule="atLeast"/>
        <w:jc w:val="center"/>
        <w:rPr>
          <w:rFonts w:ascii="宋体" w:hAnsi="宋体"/>
          <w:b/>
          <w:bCs/>
          <w:lang w:val="en-US"/>
        </w:rPr>
      </w:pPr>
    </w:p>
    <w:p w14:paraId="3BA39EA8">
      <w:pPr>
        <w:spacing w:line="180" w:lineRule="atLeast"/>
        <w:jc w:val="center"/>
        <w:rPr>
          <w:rFonts w:ascii="宋体" w:hAnsi="宋体"/>
          <w:b/>
          <w:bCs/>
          <w:lang w:val="en-US"/>
        </w:rPr>
      </w:pPr>
    </w:p>
    <w:p w14:paraId="0F0A6348">
      <w:pPr>
        <w:spacing w:line="180" w:lineRule="atLeast"/>
        <w:jc w:val="center"/>
        <w:rPr>
          <w:rFonts w:ascii="宋体" w:hAnsi="宋体"/>
          <w:b/>
          <w:bCs/>
          <w:lang w:val="en-US"/>
        </w:rPr>
      </w:pPr>
    </w:p>
    <w:p w14:paraId="1C8F893D">
      <w:pPr>
        <w:spacing w:line="180" w:lineRule="atLeast"/>
        <w:jc w:val="center"/>
        <w:rPr>
          <w:rFonts w:ascii="宋体" w:hAnsi="宋体"/>
          <w:b/>
          <w:bCs/>
          <w:lang w:val="en-US"/>
        </w:rPr>
      </w:pPr>
    </w:p>
    <w:p w14:paraId="4990B8F5">
      <w:pPr>
        <w:spacing w:line="180" w:lineRule="atLeast"/>
        <w:jc w:val="center"/>
        <w:rPr>
          <w:rFonts w:ascii="宋体" w:hAnsi="宋体"/>
          <w:b/>
          <w:bCs/>
          <w:sz w:val="20"/>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670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14:paraId="50147A00">
            <w:pPr>
              <w:pStyle w:val="33"/>
            </w:pPr>
            <w:r>
              <w:rPr>
                <w:rFonts w:hint="eastAsia"/>
              </w:rPr>
              <w:t>工程名称</w:t>
            </w:r>
          </w:p>
        </w:tc>
        <w:tc>
          <w:tcPr>
            <w:tcW w:w="3780" w:type="dxa"/>
            <w:vAlign w:val="center"/>
          </w:tcPr>
          <w:p w14:paraId="3C993A87">
            <w:pPr>
              <w:pStyle w:val="33"/>
            </w:pPr>
            <w:bookmarkStart w:id="0" w:name="工程名称"/>
            <w:r>
              <w:t>集约与共享：碳中和目标下的高层节能建筑设计</w:t>
            </w:r>
            <w:bookmarkEnd w:id="0"/>
          </w:p>
        </w:tc>
      </w:tr>
      <w:tr w14:paraId="5B89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5C7C640">
            <w:pPr>
              <w:pStyle w:val="33"/>
            </w:pPr>
            <w:r>
              <w:rPr>
                <w:rFonts w:hint="eastAsia"/>
              </w:rPr>
              <w:t>设计编号</w:t>
            </w:r>
          </w:p>
        </w:tc>
        <w:tc>
          <w:tcPr>
            <w:tcW w:w="3780" w:type="dxa"/>
            <w:vAlign w:val="center"/>
          </w:tcPr>
          <w:p w14:paraId="6C0D768A">
            <w:pPr>
              <w:pStyle w:val="33"/>
            </w:pPr>
            <w:bookmarkStart w:id="1" w:name="设计编号"/>
            <w:bookmarkEnd w:id="1"/>
          </w:p>
        </w:tc>
      </w:tr>
      <w:tr w14:paraId="57CEE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4C8A8C9">
            <w:pPr>
              <w:pStyle w:val="33"/>
            </w:pPr>
            <w:r>
              <w:rPr>
                <w:rFonts w:hint="eastAsia"/>
              </w:rPr>
              <w:t>建设单位</w:t>
            </w:r>
          </w:p>
        </w:tc>
        <w:tc>
          <w:tcPr>
            <w:tcW w:w="3780" w:type="dxa"/>
            <w:vAlign w:val="center"/>
          </w:tcPr>
          <w:p w14:paraId="60FFFE62">
            <w:pPr>
              <w:pStyle w:val="33"/>
            </w:pPr>
            <w:bookmarkStart w:id="2" w:name="建设单位"/>
            <w:bookmarkEnd w:id="2"/>
          </w:p>
        </w:tc>
      </w:tr>
      <w:tr w14:paraId="2071C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887FF38">
            <w:pPr>
              <w:pStyle w:val="33"/>
            </w:pPr>
            <w:r>
              <w:rPr>
                <w:rFonts w:hint="eastAsia"/>
              </w:rPr>
              <w:t>设计单位</w:t>
            </w:r>
          </w:p>
        </w:tc>
        <w:tc>
          <w:tcPr>
            <w:tcW w:w="3780" w:type="dxa"/>
            <w:vAlign w:val="center"/>
          </w:tcPr>
          <w:p w14:paraId="5456C934">
            <w:pPr>
              <w:pStyle w:val="33"/>
            </w:pPr>
            <w:bookmarkStart w:id="3" w:name="设计单位"/>
            <w:bookmarkEnd w:id="3"/>
          </w:p>
        </w:tc>
      </w:tr>
      <w:tr w14:paraId="4C2E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757B0C4">
            <w:pPr>
              <w:pStyle w:val="33"/>
            </w:pPr>
            <w:r>
              <w:rPr>
                <w:rFonts w:hint="eastAsia"/>
              </w:rPr>
              <w:t>审 核 人</w:t>
            </w:r>
          </w:p>
        </w:tc>
        <w:tc>
          <w:tcPr>
            <w:tcW w:w="3780" w:type="dxa"/>
            <w:vAlign w:val="center"/>
          </w:tcPr>
          <w:p w14:paraId="0A2518A3">
            <w:pPr>
              <w:pStyle w:val="33"/>
            </w:pPr>
            <w:bookmarkStart w:id="4" w:name="审核人"/>
            <w:bookmarkEnd w:id="4"/>
          </w:p>
        </w:tc>
      </w:tr>
      <w:tr w14:paraId="5F75F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C474F75">
            <w:pPr>
              <w:pStyle w:val="33"/>
            </w:pPr>
            <w:r>
              <w:rPr>
                <w:rFonts w:hint="eastAsia"/>
              </w:rPr>
              <w:t>审 定 人</w:t>
            </w:r>
          </w:p>
        </w:tc>
        <w:tc>
          <w:tcPr>
            <w:tcW w:w="3780" w:type="dxa"/>
            <w:vAlign w:val="center"/>
          </w:tcPr>
          <w:p w14:paraId="16C00469">
            <w:pPr>
              <w:pStyle w:val="33"/>
            </w:pPr>
            <w:bookmarkStart w:id="5" w:name="审定人"/>
            <w:bookmarkEnd w:id="5"/>
          </w:p>
        </w:tc>
      </w:tr>
      <w:tr w14:paraId="38BE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4CE5CBAD">
            <w:pPr>
              <w:pStyle w:val="33"/>
            </w:pPr>
            <w:r>
              <w:rPr>
                <w:rFonts w:hint="eastAsia"/>
              </w:rPr>
              <w:t>计算日期</w:t>
            </w:r>
          </w:p>
        </w:tc>
        <w:tc>
          <w:tcPr>
            <w:tcW w:w="3780" w:type="dxa"/>
            <w:vAlign w:val="center"/>
          </w:tcPr>
          <w:p w14:paraId="26C3987F">
            <w:pPr>
              <w:pStyle w:val="33"/>
            </w:pPr>
            <w:bookmarkStart w:id="6" w:name="计算日期"/>
            <w:r>
              <w:t>2024年12月17日</w:t>
            </w:r>
            <w:bookmarkEnd w:id="6"/>
          </w:p>
        </w:tc>
      </w:tr>
    </w:tbl>
    <w:p w14:paraId="6C65469E">
      <w:pPr>
        <w:pStyle w:val="33"/>
      </w:pPr>
    </w:p>
    <w:p w14:paraId="0452FAF0">
      <w:pPr>
        <w:pStyle w:val="33"/>
        <w:rPr>
          <w:rFonts w:ascii="黑体" w:hAnsi="黑体" w:eastAsia="黑体"/>
          <w:sz w:val="30"/>
          <w:szCs w:val="32"/>
        </w:rPr>
      </w:pPr>
      <w:bookmarkStart w:id="7" w:name="二维码"/>
      <w:bookmarkEnd w:id="7"/>
      <w:r>
        <w:drawing>
          <wp:inline distT="0" distB="0" distL="0" distR="0">
            <wp:extent cx="2476500" cy="24765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30ED2257">
      <w:pPr>
        <w:pStyle w:val="33"/>
        <w:rPr>
          <w:rFonts w:ascii="黑体" w:hAnsi="黑体" w:eastAsia="黑体"/>
          <w:sz w:val="30"/>
          <w:szCs w:val="32"/>
        </w:rPr>
      </w:pPr>
    </w:p>
    <w:p w14:paraId="7E716D13">
      <w:pPr>
        <w:pStyle w:val="33"/>
        <w:rPr>
          <w:rFonts w:ascii="黑体" w:hAnsi="黑体" w:eastAsia="黑体"/>
          <w:b/>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EC1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0727254">
            <w:pPr>
              <w:jc w:val="both"/>
            </w:pPr>
            <w:r>
              <w:rPr>
                <w:rFonts w:hint="eastAsia"/>
              </w:rPr>
              <w:t>采用软件</w:t>
            </w:r>
          </w:p>
        </w:tc>
        <w:tc>
          <w:tcPr>
            <w:tcW w:w="3780" w:type="dxa"/>
            <w:vAlign w:val="center"/>
          </w:tcPr>
          <w:p w14:paraId="2198E73F">
            <w:pPr>
              <w:pStyle w:val="33"/>
              <w:rPr>
                <w:szCs w:val="18"/>
              </w:rPr>
            </w:pPr>
            <w:bookmarkStart w:id="8" w:name="采用软件"/>
            <w:r>
              <w:t>采光分析DALI2024</w:t>
            </w:r>
            <w:bookmarkEnd w:id="8"/>
          </w:p>
        </w:tc>
      </w:tr>
      <w:tr w14:paraId="02E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415284">
            <w:pPr>
              <w:jc w:val="both"/>
            </w:pPr>
            <w:r>
              <w:rPr>
                <w:rFonts w:hint="eastAsia"/>
              </w:rPr>
              <w:t>软件版本</w:t>
            </w:r>
          </w:p>
        </w:tc>
        <w:tc>
          <w:tcPr>
            <w:tcW w:w="3780" w:type="dxa"/>
            <w:vAlign w:val="center"/>
          </w:tcPr>
          <w:p w14:paraId="5D077A41">
            <w:pPr>
              <w:pStyle w:val="33"/>
              <w:rPr>
                <w:szCs w:val="18"/>
              </w:rPr>
            </w:pPr>
            <w:bookmarkStart w:id="9" w:name="软件版本"/>
            <w:r>
              <w:rPr>
                <w:szCs w:val="18"/>
              </w:rPr>
              <w:t>20240430(SP1)</w:t>
            </w:r>
            <w:bookmarkEnd w:id="9"/>
          </w:p>
        </w:tc>
      </w:tr>
      <w:tr w14:paraId="6A68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53A5B74">
            <w:pPr>
              <w:jc w:val="both"/>
            </w:pPr>
            <w:r>
              <w:rPr>
                <w:rFonts w:hint="eastAsia"/>
              </w:rPr>
              <w:t>研发单位</w:t>
            </w:r>
          </w:p>
        </w:tc>
        <w:tc>
          <w:tcPr>
            <w:tcW w:w="3780" w:type="dxa"/>
            <w:vAlign w:val="center"/>
          </w:tcPr>
          <w:p w14:paraId="0AD36223">
            <w:pPr>
              <w:pStyle w:val="33"/>
              <w:rPr>
                <w:szCs w:val="18"/>
              </w:rPr>
            </w:pPr>
            <w:r>
              <w:rPr>
                <w:rFonts w:hint="eastAsia"/>
                <w:szCs w:val="18"/>
              </w:rPr>
              <w:t>北京绿建软件有限公司</w:t>
            </w:r>
          </w:p>
        </w:tc>
      </w:tr>
      <w:tr w14:paraId="5387A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ACB0376">
            <w:pPr>
              <w:jc w:val="both"/>
            </w:pPr>
            <w:r>
              <w:rPr>
                <w:rFonts w:hint="eastAsia"/>
              </w:rPr>
              <w:t>正版授权码</w:t>
            </w:r>
          </w:p>
        </w:tc>
        <w:tc>
          <w:tcPr>
            <w:tcW w:w="3780" w:type="dxa"/>
            <w:vAlign w:val="center"/>
          </w:tcPr>
          <w:p w14:paraId="69509597">
            <w:pPr>
              <w:pStyle w:val="33"/>
              <w:rPr>
                <w:szCs w:val="18"/>
              </w:rPr>
            </w:pPr>
            <w:bookmarkStart w:id="10" w:name="正版授权码"/>
            <w:r>
              <w:t>T18955743098</w:t>
            </w:r>
            <w:bookmarkEnd w:id="10"/>
          </w:p>
        </w:tc>
      </w:tr>
      <w:tr w14:paraId="55B6F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5F3BBC0">
            <w:pPr>
              <w:jc w:val="both"/>
            </w:pPr>
            <w:r>
              <w:rPr>
                <w:rFonts w:hint="eastAsia"/>
              </w:rPr>
              <w:t>服务热线</w:t>
            </w:r>
          </w:p>
        </w:tc>
        <w:tc>
          <w:tcPr>
            <w:tcW w:w="3780" w:type="dxa"/>
            <w:vAlign w:val="center"/>
          </w:tcPr>
          <w:p w14:paraId="427676C3">
            <w:pPr>
              <w:pStyle w:val="33"/>
              <w:rPr>
                <w:szCs w:val="18"/>
              </w:rPr>
            </w:pPr>
            <w:r>
              <w:rPr>
                <w:rFonts w:hint="eastAsia"/>
                <w:color w:val="000000"/>
                <w:shd w:val="clear" w:color="auto" w:fill="FFFFFF"/>
              </w:rPr>
              <w:t>400-094-1228</w:t>
            </w:r>
          </w:p>
        </w:tc>
      </w:tr>
    </w:tbl>
    <w:p w14:paraId="66617333">
      <w:pPr>
        <w:rPr>
          <w:rFonts w:ascii="黑体" w:hAnsi="黑体" w:eastAsia="黑体"/>
          <w:b/>
          <w:bCs/>
          <w:sz w:val="30"/>
          <w:szCs w:val="32"/>
        </w:rPr>
      </w:pPr>
    </w:p>
    <w:p w14:paraId="438D5C12">
      <w:pPr>
        <w:rPr>
          <w:rFonts w:ascii="黑体" w:hAnsi="黑体" w:eastAsia="黑体"/>
          <w:b/>
          <w:bCs/>
          <w:sz w:val="30"/>
          <w:szCs w:val="32"/>
        </w:rPr>
      </w:pPr>
    </w:p>
    <w:p w14:paraId="19EBFE7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486FBE8D">
      <w:pPr>
        <w:jc w:val="center"/>
        <w:rPr>
          <w:sz w:val="28"/>
          <w:szCs w:val="28"/>
        </w:rPr>
      </w:pPr>
      <w:bookmarkStart w:id="11" w:name="目录"/>
      <w:r>
        <w:rPr>
          <w:rFonts w:hint="eastAsia"/>
          <w:sz w:val="28"/>
          <w:szCs w:val="28"/>
        </w:rPr>
        <w:t>目  录</w:t>
      </w:r>
    </w:p>
    <w:p w14:paraId="400719F9">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_Toc4118 </w:instrText>
      </w:r>
      <w:r>
        <w:rPr>
          <w:szCs w:val="28"/>
        </w:rPr>
        <w:fldChar w:fldCharType="separate"/>
      </w:r>
      <w:r>
        <w:rPr>
          <w:rFonts w:hint="eastAsia"/>
        </w:rPr>
        <w:t>1. 建筑概况</w:t>
      </w:r>
      <w:r>
        <w:tab/>
      </w:r>
      <w:r>
        <w:fldChar w:fldCharType="begin"/>
      </w:r>
      <w:r>
        <w:instrText xml:space="preserve"> PAGEREF _Toc4118 \h </w:instrText>
      </w:r>
      <w:r>
        <w:fldChar w:fldCharType="separate"/>
      </w:r>
      <w:r>
        <w:t>3</w:t>
      </w:r>
      <w:r>
        <w:fldChar w:fldCharType="end"/>
      </w:r>
      <w:r>
        <w:rPr>
          <w:szCs w:val="28"/>
        </w:rPr>
        <w:fldChar w:fldCharType="end"/>
      </w:r>
    </w:p>
    <w:p w14:paraId="17EB2768">
      <w:pPr>
        <w:pStyle w:val="17"/>
        <w:tabs>
          <w:tab w:val="right" w:leader="dot" w:pos="9070"/>
          <w:tab w:val="clear" w:pos="180"/>
          <w:tab w:val="clear" w:pos="420"/>
          <w:tab w:val="clear" w:pos="9360"/>
        </w:tabs>
      </w:pPr>
      <w:r>
        <w:rPr>
          <w:szCs w:val="28"/>
        </w:rPr>
        <w:fldChar w:fldCharType="begin"/>
      </w:r>
      <w:r>
        <w:rPr>
          <w:szCs w:val="28"/>
        </w:rPr>
        <w:instrText xml:space="preserve"> HYPERLINK \l _Toc29623 </w:instrText>
      </w:r>
      <w:r>
        <w:rPr>
          <w:szCs w:val="28"/>
        </w:rPr>
        <w:fldChar w:fldCharType="separate"/>
      </w:r>
      <w:r>
        <w:rPr>
          <w:rFonts w:hint="eastAsia"/>
        </w:rPr>
        <w:t>2. 分析目的</w:t>
      </w:r>
      <w:r>
        <w:tab/>
      </w:r>
      <w:r>
        <w:fldChar w:fldCharType="begin"/>
      </w:r>
      <w:r>
        <w:instrText xml:space="preserve"> PAGEREF _Toc29623 \h </w:instrText>
      </w:r>
      <w:r>
        <w:fldChar w:fldCharType="separate"/>
      </w:r>
      <w:r>
        <w:t>3</w:t>
      </w:r>
      <w:r>
        <w:fldChar w:fldCharType="end"/>
      </w:r>
      <w:r>
        <w:rPr>
          <w:szCs w:val="28"/>
        </w:rPr>
        <w:fldChar w:fldCharType="end"/>
      </w:r>
    </w:p>
    <w:p w14:paraId="61BBCA00">
      <w:pPr>
        <w:pStyle w:val="17"/>
        <w:tabs>
          <w:tab w:val="right" w:leader="dot" w:pos="9070"/>
          <w:tab w:val="clear" w:pos="180"/>
          <w:tab w:val="clear" w:pos="420"/>
          <w:tab w:val="clear" w:pos="9360"/>
        </w:tabs>
      </w:pPr>
      <w:r>
        <w:rPr>
          <w:szCs w:val="28"/>
        </w:rPr>
        <w:fldChar w:fldCharType="begin"/>
      </w:r>
      <w:r>
        <w:rPr>
          <w:szCs w:val="28"/>
        </w:rPr>
        <w:instrText xml:space="preserve"> HYPERLINK \l _Toc31613 </w:instrText>
      </w:r>
      <w:r>
        <w:rPr>
          <w:szCs w:val="28"/>
        </w:rPr>
        <w:fldChar w:fldCharType="separate"/>
      </w:r>
      <w:r>
        <w:rPr>
          <w:rFonts w:hint="eastAsia"/>
        </w:rPr>
        <w:t>3. 分析依据</w:t>
      </w:r>
      <w:r>
        <w:tab/>
      </w:r>
      <w:r>
        <w:fldChar w:fldCharType="begin"/>
      </w:r>
      <w:r>
        <w:instrText xml:space="preserve"> PAGEREF _Toc31613 \h </w:instrText>
      </w:r>
      <w:r>
        <w:fldChar w:fldCharType="separate"/>
      </w:r>
      <w:r>
        <w:t>3</w:t>
      </w:r>
      <w:r>
        <w:fldChar w:fldCharType="end"/>
      </w:r>
      <w:r>
        <w:rPr>
          <w:szCs w:val="28"/>
        </w:rPr>
        <w:fldChar w:fldCharType="end"/>
      </w:r>
    </w:p>
    <w:p w14:paraId="443A40BD">
      <w:pPr>
        <w:pStyle w:val="18"/>
        <w:tabs>
          <w:tab w:val="right" w:leader="dot" w:pos="9070"/>
          <w:tab w:val="clear" w:pos="540"/>
          <w:tab w:val="clear" w:pos="567"/>
          <w:tab w:val="clear" w:pos="9360"/>
        </w:tabs>
      </w:pPr>
      <w:r>
        <w:rPr>
          <w:szCs w:val="28"/>
        </w:rPr>
        <w:fldChar w:fldCharType="begin"/>
      </w:r>
      <w:r>
        <w:rPr>
          <w:szCs w:val="28"/>
        </w:rPr>
        <w:instrText xml:space="preserve"> HYPERLINK \l _Toc10335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_Toc10335 \h </w:instrText>
      </w:r>
      <w:r>
        <w:fldChar w:fldCharType="separate"/>
      </w:r>
      <w:r>
        <w:t>3</w:t>
      </w:r>
      <w:r>
        <w:fldChar w:fldCharType="end"/>
      </w:r>
      <w:r>
        <w:rPr>
          <w:szCs w:val="28"/>
        </w:rPr>
        <w:fldChar w:fldCharType="end"/>
      </w:r>
    </w:p>
    <w:p w14:paraId="10A368AA">
      <w:pPr>
        <w:pStyle w:val="18"/>
        <w:tabs>
          <w:tab w:val="right" w:leader="dot" w:pos="9070"/>
          <w:tab w:val="clear" w:pos="540"/>
          <w:tab w:val="clear" w:pos="567"/>
          <w:tab w:val="clear" w:pos="9360"/>
        </w:tabs>
      </w:pPr>
      <w:r>
        <w:rPr>
          <w:szCs w:val="28"/>
        </w:rPr>
        <w:fldChar w:fldCharType="begin"/>
      </w:r>
      <w:r>
        <w:rPr>
          <w:szCs w:val="28"/>
        </w:rPr>
        <w:instrText xml:space="preserve"> HYPERLINK \l _Toc139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_Toc139 \h </w:instrText>
      </w:r>
      <w:r>
        <w:fldChar w:fldCharType="separate"/>
      </w:r>
      <w:r>
        <w:t>3</w:t>
      </w:r>
      <w:r>
        <w:fldChar w:fldCharType="end"/>
      </w:r>
      <w:r>
        <w:rPr>
          <w:szCs w:val="28"/>
        </w:rPr>
        <w:fldChar w:fldCharType="end"/>
      </w:r>
    </w:p>
    <w:p w14:paraId="2BFDA1AC">
      <w:pPr>
        <w:pStyle w:val="17"/>
        <w:tabs>
          <w:tab w:val="right" w:leader="dot" w:pos="9070"/>
          <w:tab w:val="clear" w:pos="180"/>
          <w:tab w:val="clear" w:pos="420"/>
          <w:tab w:val="clear" w:pos="9360"/>
        </w:tabs>
      </w:pPr>
      <w:r>
        <w:rPr>
          <w:szCs w:val="28"/>
        </w:rPr>
        <w:fldChar w:fldCharType="begin"/>
      </w:r>
      <w:r>
        <w:rPr>
          <w:szCs w:val="28"/>
        </w:rPr>
        <w:instrText xml:space="preserve"> HYPERLINK \l _Toc6459 </w:instrText>
      </w:r>
      <w:r>
        <w:rPr>
          <w:szCs w:val="28"/>
        </w:rPr>
        <w:fldChar w:fldCharType="separate"/>
      </w:r>
      <w:r>
        <w:rPr>
          <w:rFonts w:hint="eastAsia"/>
        </w:rPr>
        <w:t>4. 应用软件与计算方法</w:t>
      </w:r>
      <w:r>
        <w:tab/>
      </w:r>
      <w:r>
        <w:fldChar w:fldCharType="begin"/>
      </w:r>
      <w:r>
        <w:instrText xml:space="preserve"> PAGEREF _Toc6459 \h </w:instrText>
      </w:r>
      <w:r>
        <w:fldChar w:fldCharType="separate"/>
      </w:r>
      <w:r>
        <w:t>4</w:t>
      </w:r>
      <w:r>
        <w:fldChar w:fldCharType="end"/>
      </w:r>
      <w:r>
        <w:rPr>
          <w:szCs w:val="28"/>
        </w:rPr>
        <w:fldChar w:fldCharType="end"/>
      </w:r>
    </w:p>
    <w:p w14:paraId="0FEE9CA7">
      <w:pPr>
        <w:pStyle w:val="18"/>
        <w:tabs>
          <w:tab w:val="right" w:leader="dot" w:pos="9070"/>
          <w:tab w:val="clear" w:pos="540"/>
          <w:tab w:val="clear" w:pos="567"/>
          <w:tab w:val="clear" w:pos="9360"/>
        </w:tabs>
      </w:pPr>
      <w:r>
        <w:rPr>
          <w:szCs w:val="28"/>
        </w:rPr>
        <w:fldChar w:fldCharType="begin"/>
      </w:r>
      <w:r>
        <w:rPr>
          <w:szCs w:val="28"/>
        </w:rPr>
        <w:instrText xml:space="preserve"> HYPERLINK \l _Toc29309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_Toc29309 \h </w:instrText>
      </w:r>
      <w:r>
        <w:fldChar w:fldCharType="separate"/>
      </w:r>
      <w:r>
        <w:t>4</w:t>
      </w:r>
      <w:r>
        <w:fldChar w:fldCharType="end"/>
      </w:r>
      <w:r>
        <w:rPr>
          <w:szCs w:val="28"/>
        </w:rPr>
        <w:fldChar w:fldCharType="end"/>
      </w:r>
    </w:p>
    <w:p w14:paraId="3C3ABDBE">
      <w:pPr>
        <w:pStyle w:val="18"/>
        <w:tabs>
          <w:tab w:val="right" w:leader="dot" w:pos="9070"/>
          <w:tab w:val="clear" w:pos="540"/>
          <w:tab w:val="clear" w:pos="567"/>
          <w:tab w:val="clear" w:pos="9360"/>
        </w:tabs>
      </w:pPr>
      <w:r>
        <w:rPr>
          <w:szCs w:val="28"/>
        </w:rPr>
        <w:fldChar w:fldCharType="begin"/>
      </w:r>
      <w:r>
        <w:rPr>
          <w:szCs w:val="28"/>
        </w:rPr>
        <w:instrText xml:space="preserve"> HYPERLINK \l _Toc10228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_Toc10228 \h </w:instrText>
      </w:r>
      <w:r>
        <w:fldChar w:fldCharType="separate"/>
      </w:r>
      <w:r>
        <w:t>4</w:t>
      </w:r>
      <w:r>
        <w:fldChar w:fldCharType="end"/>
      </w:r>
      <w:r>
        <w:rPr>
          <w:szCs w:val="28"/>
        </w:rPr>
        <w:fldChar w:fldCharType="end"/>
      </w:r>
    </w:p>
    <w:p w14:paraId="6F0FFD9A">
      <w:pPr>
        <w:pStyle w:val="18"/>
        <w:tabs>
          <w:tab w:val="right" w:leader="dot" w:pos="9070"/>
          <w:tab w:val="clear" w:pos="540"/>
          <w:tab w:val="clear" w:pos="567"/>
          <w:tab w:val="clear" w:pos="9360"/>
        </w:tabs>
      </w:pPr>
      <w:r>
        <w:rPr>
          <w:szCs w:val="28"/>
        </w:rPr>
        <w:fldChar w:fldCharType="begin"/>
      </w:r>
      <w:r>
        <w:rPr>
          <w:szCs w:val="28"/>
        </w:rPr>
        <w:instrText xml:space="preserve"> HYPERLINK \l _Toc585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_Toc585 \h </w:instrText>
      </w:r>
      <w:r>
        <w:fldChar w:fldCharType="separate"/>
      </w:r>
      <w:r>
        <w:t>5</w:t>
      </w:r>
      <w:r>
        <w:fldChar w:fldCharType="end"/>
      </w:r>
      <w:r>
        <w:rPr>
          <w:szCs w:val="28"/>
        </w:rPr>
        <w:fldChar w:fldCharType="end"/>
      </w:r>
    </w:p>
    <w:p w14:paraId="0032F605">
      <w:pPr>
        <w:pStyle w:val="17"/>
        <w:tabs>
          <w:tab w:val="right" w:leader="dot" w:pos="9070"/>
          <w:tab w:val="clear" w:pos="180"/>
          <w:tab w:val="clear" w:pos="420"/>
          <w:tab w:val="clear" w:pos="9360"/>
        </w:tabs>
      </w:pPr>
      <w:r>
        <w:rPr>
          <w:szCs w:val="28"/>
        </w:rPr>
        <w:fldChar w:fldCharType="begin"/>
      </w:r>
      <w:r>
        <w:rPr>
          <w:szCs w:val="28"/>
        </w:rPr>
        <w:instrText xml:space="preserve"> HYPERLINK \l _Toc1997 </w:instrText>
      </w:r>
      <w:r>
        <w:rPr>
          <w:szCs w:val="28"/>
        </w:rPr>
        <w:fldChar w:fldCharType="separate"/>
      </w:r>
      <w:r>
        <w:rPr>
          <w:rFonts w:hint="eastAsia"/>
        </w:rPr>
        <w:t>5. 计算参数选用</w:t>
      </w:r>
      <w:r>
        <w:tab/>
      </w:r>
      <w:r>
        <w:fldChar w:fldCharType="begin"/>
      </w:r>
      <w:r>
        <w:instrText xml:space="preserve"> PAGEREF _Toc1997 \h </w:instrText>
      </w:r>
      <w:r>
        <w:fldChar w:fldCharType="separate"/>
      </w:r>
      <w:r>
        <w:t>5</w:t>
      </w:r>
      <w:r>
        <w:fldChar w:fldCharType="end"/>
      </w:r>
      <w:r>
        <w:rPr>
          <w:szCs w:val="28"/>
        </w:rPr>
        <w:fldChar w:fldCharType="end"/>
      </w:r>
    </w:p>
    <w:p w14:paraId="33BC665A">
      <w:pPr>
        <w:pStyle w:val="18"/>
        <w:tabs>
          <w:tab w:val="right" w:leader="dot" w:pos="9070"/>
          <w:tab w:val="clear" w:pos="540"/>
          <w:tab w:val="clear" w:pos="567"/>
          <w:tab w:val="clear" w:pos="9360"/>
        </w:tabs>
      </w:pPr>
      <w:r>
        <w:rPr>
          <w:szCs w:val="28"/>
        </w:rPr>
        <w:fldChar w:fldCharType="begin"/>
      </w:r>
      <w:r>
        <w:rPr>
          <w:szCs w:val="28"/>
        </w:rPr>
        <w:instrText xml:space="preserve"> HYPERLINK \l _Toc27559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_Toc27559 \h </w:instrText>
      </w:r>
      <w:r>
        <w:fldChar w:fldCharType="separate"/>
      </w:r>
      <w:r>
        <w:t>5</w:t>
      </w:r>
      <w:r>
        <w:fldChar w:fldCharType="end"/>
      </w:r>
      <w:r>
        <w:rPr>
          <w:szCs w:val="28"/>
        </w:rPr>
        <w:fldChar w:fldCharType="end"/>
      </w:r>
    </w:p>
    <w:p w14:paraId="0D96513F">
      <w:pPr>
        <w:pStyle w:val="18"/>
        <w:tabs>
          <w:tab w:val="right" w:leader="dot" w:pos="9070"/>
          <w:tab w:val="clear" w:pos="540"/>
          <w:tab w:val="clear" w:pos="567"/>
          <w:tab w:val="clear" w:pos="9360"/>
        </w:tabs>
      </w:pPr>
      <w:r>
        <w:rPr>
          <w:szCs w:val="28"/>
        </w:rPr>
        <w:fldChar w:fldCharType="begin"/>
      </w:r>
      <w:r>
        <w:rPr>
          <w:szCs w:val="28"/>
        </w:rPr>
        <w:instrText xml:space="preserve"> HYPERLINK \l _Toc3353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_Toc3353 \h </w:instrText>
      </w:r>
      <w:r>
        <w:fldChar w:fldCharType="separate"/>
      </w:r>
      <w:r>
        <w:t>6</w:t>
      </w:r>
      <w:r>
        <w:fldChar w:fldCharType="end"/>
      </w:r>
      <w:r>
        <w:rPr>
          <w:szCs w:val="28"/>
        </w:rPr>
        <w:fldChar w:fldCharType="end"/>
      </w:r>
    </w:p>
    <w:p w14:paraId="41F797DD">
      <w:pPr>
        <w:pStyle w:val="18"/>
        <w:tabs>
          <w:tab w:val="right" w:leader="dot" w:pos="9070"/>
          <w:tab w:val="clear" w:pos="540"/>
          <w:tab w:val="clear" w:pos="567"/>
          <w:tab w:val="clear" w:pos="9360"/>
        </w:tabs>
      </w:pPr>
      <w:r>
        <w:rPr>
          <w:szCs w:val="28"/>
        </w:rPr>
        <w:fldChar w:fldCharType="begin"/>
      </w:r>
      <w:r>
        <w:rPr>
          <w:szCs w:val="28"/>
        </w:rPr>
        <w:instrText xml:space="preserve"> HYPERLINK \l _Toc816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_Toc816 \h </w:instrText>
      </w:r>
      <w:r>
        <w:fldChar w:fldCharType="separate"/>
      </w:r>
      <w:r>
        <w:t>6</w:t>
      </w:r>
      <w:r>
        <w:fldChar w:fldCharType="end"/>
      </w:r>
      <w:r>
        <w:rPr>
          <w:szCs w:val="28"/>
        </w:rPr>
        <w:fldChar w:fldCharType="end"/>
      </w:r>
    </w:p>
    <w:p w14:paraId="0B420074">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_Toc3417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_Toc3417 \h </w:instrText>
      </w:r>
      <w:r>
        <w:fldChar w:fldCharType="separate"/>
      </w:r>
      <w:r>
        <w:t>6</w:t>
      </w:r>
      <w:r>
        <w:fldChar w:fldCharType="end"/>
      </w:r>
      <w:r>
        <w:rPr>
          <w:szCs w:val="28"/>
        </w:rPr>
        <w:fldChar w:fldCharType="end"/>
      </w:r>
    </w:p>
    <w:p w14:paraId="2FC83B39">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_Toc30337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_Toc30337 \h </w:instrText>
      </w:r>
      <w:r>
        <w:fldChar w:fldCharType="separate"/>
      </w:r>
      <w:r>
        <w:t>7</w:t>
      </w:r>
      <w:r>
        <w:fldChar w:fldCharType="end"/>
      </w:r>
      <w:r>
        <w:rPr>
          <w:szCs w:val="28"/>
        </w:rPr>
        <w:fldChar w:fldCharType="end"/>
      </w:r>
    </w:p>
    <w:p w14:paraId="36647268">
      <w:pPr>
        <w:pStyle w:val="17"/>
        <w:tabs>
          <w:tab w:val="right" w:leader="dot" w:pos="9070"/>
          <w:tab w:val="clear" w:pos="180"/>
          <w:tab w:val="clear" w:pos="420"/>
          <w:tab w:val="clear" w:pos="9360"/>
        </w:tabs>
      </w:pPr>
      <w:r>
        <w:rPr>
          <w:szCs w:val="28"/>
        </w:rPr>
        <w:fldChar w:fldCharType="begin"/>
      </w:r>
      <w:r>
        <w:rPr>
          <w:szCs w:val="28"/>
        </w:rPr>
        <w:instrText xml:space="preserve"> HYPERLINK \l _Toc32077 </w:instrText>
      </w:r>
      <w:r>
        <w:rPr>
          <w:szCs w:val="28"/>
        </w:rPr>
        <w:fldChar w:fldCharType="separate"/>
      </w:r>
      <w:r>
        <w:rPr>
          <w:rFonts w:hint="eastAsia"/>
        </w:rPr>
        <w:t>6. 分析结果展示</w:t>
      </w:r>
      <w:r>
        <w:tab/>
      </w:r>
      <w:r>
        <w:fldChar w:fldCharType="begin"/>
      </w:r>
      <w:r>
        <w:instrText xml:space="preserve"> PAGEREF _Toc32077 \h </w:instrText>
      </w:r>
      <w:r>
        <w:fldChar w:fldCharType="separate"/>
      </w:r>
      <w:r>
        <w:t>7</w:t>
      </w:r>
      <w:r>
        <w:fldChar w:fldCharType="end"/>
      </w:r>
      <w:r>
        <w:rPr>
          <w:szCs w:val="28"/>
        </w:rPr>
        <w:fldChar w:fldCharType="end"/>
      </w:r>
    </w:p>
    <w:p w14:paraId="311C0790">
      <w:pPr>
        <w:pStyle w:val="17"/>
        <w:tabs>
          <w:tab w:val="right" w:leader="dot" w:pos="9070"/>
          <w:tab w:val="clear" w:pos="180"/>
          <w:tab w:val="clear" w:pos="420"/>
          <w:tab w:val="clear" w:pos="9360"/>
        </w:tabs>
      </w:pPr>
      <w:r>
        <w:rPr>
          <w:szCs w:val="28"/>
        </w:rPr>
        <w:fldChar w:fldCharType="begin"/>
      </w:r>
      <w:r>
        <w:rPr>
          <w:szCs w:val="28"/>
        </w:rPr>
        <w:instrText xml:space="preserve"> HYPERLINK \l _Toc22163 </w:instrText>
      </w:r>
      <w:r>
        <w:rPr>
          <w:szCs w:val="28"/>
        </w:rPr>
        <w:fldChar w:fldCharType="separate"/>
      </w:r>
      <w:r>
        <w:rPr>
          <w:rFonts w:hint="eastAsia"/>
        </w:rPr>
        <w:t>7. 评价结论</w:t>
      </w:r>
      <w:r>
        <w:tab/>
      </w:r>
      <w:r>
        <w:fldChar w:fldCharType="begin"/>
      </w:r>
      <w:r>
        <w:instrText xml:space="preserve"> PAGEREF _Toc22163 \h </w:instrText>
      </w:r>
      <w:r>
        <w:fldChar w:fldCharType="separate"/>
      </w:r>
      <w:r>
        <w:t>7</w:t>
      </w:r>
      <w:r>
        <w:fldChar w:fldCharType="end"/>
      </w:r>
      <w:r>
        <w:rPr>
          <w:szCs w:val="28"/>
        </w:rPr>
        <w:fldChar w:fldCharType="end"/>
      </w:r>
    </w:p>
    <w:p w14:paraId="729DA4ED">
      <w:pPr>
        <w:pStyle w:val="17"/>
        <w:tabs>
          <w:tab w:val="right" w:leader="dot" w:pos="9070"/>
          <w:tab w:val="clear" w:pos="180"/>
          <w:tab w:val="clear" w:pos="420"/>
          <w:tab w:val="clear" w:pos="9360"/>
        </w:tabs>
      </w:pPr>
      <w:r>
        <w:rPr>
          <w:szCs w:val="28"/>
        </w:rPr>
        <w:fldChar w:fldCharType="begin"/>
      </w:r>
      <w:r>
        <w:rPr>
          <w:szCs w:val="28"/>
        </w:rPr>
        <w:instrText xml:space="preserve"> HYPERLINK \l _Toc9334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_Toc9334 \h </w:instrText>
      </w:r>
      <w:r>
        <w:fldChar w:fldCharType="separate"/>
      </w:r>
      <w:r>
        <w:t>8</w:t>
      </w:r>
      <w:r>
        <w:fldChar w:fldCharType="end"/>
      </w:r>
      <w:r>
        <w:rPr>
          <w:szCs w:val="28"/>
        </w:rPr>
        <w:fldChar w:fldCharType="end"/>
      </w:r>
    </w:p>
    <w:p w14:paraId="519F4DB1">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8FE47C8">
      <w:pPr>
        <w:pStyle w:val="2"/>
        <w:ind w:left="432" w:hanging="432"/>
      </w:pPr>
      <w:bookmarkStart w:id="12" w:name="_Toc4118"/>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3" w:name="项目地点"/>
            <w:r>
              <w:t>驻马店</w:t>
            </w:r>
            <w:bookmarkEnd w:id="13"/>
          </w:p>
        </w:tc>
      </w:tr>
      <w:tr w14:paraId="6B74B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4" w:name="光气候分区"/>
            <w:r>
              <w:t>III</w:t>
            </w:r>
            <w:bookmarkEnd w:id="14"/>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5" w:name="光气候系数K"/>
            <w:r>
              <w:t>1.00</w:t>
            </w:r>
            <w:bookmarkEnd w:id="15"/>
          </w:p>
        </w:tc>
      </w:tr>
      <w:tr w14:paraId="46DA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6" w:name="地上建筑面积"/>
            <w:r>
              <w:t>20877.50</w:t>
            </w:r>
            <w:bookmarkEnd w:id="16"/>
            <w:r>
              <w:rPr>
                <w:rFonts w:hint="eastAsia"/>
              </w:rPr>
              <w:t>㎡</w:t>
            </w:r>
            <w:r>
              <w:rPr>
                <w:rFonts w:hint="eastAsia"/>
                <w:lang w:val="en-US"/>
              </w:rPr>
              <w:t xml:space="preserve">    地下  </w:t>
            </w:r>
            <w:bookmarkStart w:id="17" w:name="地下建筑面积"/>
            <w:r>
              <w:t>4870.21</w:t>
            </w:r>
            <w:bookmarkEnd w:id="17"/>
            <w:r>
              <w:rPr>
                <w:rFonts w:hint="eastAsia"/>
              </w:rPr>
              <w:t>㎡</w:t>
            </w:r>
          </w:p>
        </w:tc>
      </w:tr>
      <w:tr w14:paraId="0A9D4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8" w:name="地上建筑层数"/>
            <w:r>
              <w:t>13</w:t>
            </w:r>
            <w:bookmarkEnd w:id="18"/>
            <w:r>
              <w:rPr>
                <w:rFonts w:hint="eastAsia"/>
                <w:lang w:val="en-US"/>
              </w:rPr>
              <w:t xml:space="preserve">          地下 </w:t>
            </w:r>
            <w:bookmarkStart w:id="19" w:name="地下建筑层数"/>
            <w:r>
              <w:t>1</w:t>
            </w:r>
            <w:bookmarkEnd w:id="19"/>
          </w:p>
        </w:tc>
      </w:tr>
      <w:tr w14:paraId="5A5D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0" w:name="地上建筑高度"/>
            <w:r>
              <w:t>47.40</w:t>
            </w:r>
            <w:bookmarkEnd w:id="20"/>
            <w:r>
              <w:rPr>
                <w:rFonts w:hint="eastAsia"/>
                <w:lang w:val="en-US"/>
              </w:rPr>
              <w:t xml:space="preserve"> m     地下  </w:t>
            </w:r>
            <w:bookmarkStart w:id="21" w:name="地下建筑高度"/>
            <w:r>
              <w:t>4.20</w:t>
            </w:r>
            <w:bookmarkEnd w:id="21"/>
            <w:r>
              <w:rPr>
                <w:rFonts w:hint="eastAsia"/>
                <w:lang w:val="en-US"/>
              </w:rPr>
              <w:t>m</w:t>
            </w:r>
          </w:p>
        </w:tc>
      </w:tr>
      <w:tr w14:paraId="5442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2" w:name="备注"/>
            <w:bookmarkEnd w:id="22"/>
          </w:p>
        </w:tc>
      </w:tr>
    </w:tbl>
    <w:p w14:paraId="4E2B8429">
      <w:pPr>
        <w:pStyle w:val="33"/>
        <w:rPr>
          <w:lang w:val="en-US"/>
        </w:rPr>
      </w:pPr>
    </w:p>
    <w:p w14:paraId="767A04F0">
      <w:pPr>
        <w:pStyle w:val="2"/>
        <w:ind w:left="432" w:hanging="432"/>
      </w:pPr>
      <w:bookmarkStart w:id="23" w:name="_Toc29623"/>
      <w:r>
        <w:rPr>
          <w:rFonts w:hint="eastAsia"/>
        </w:rPr>
        <w:t>分析目的</w:t>
      </w:r>
      <w:bookmarkEnd w:id="23"/>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r>
        <w:rPr>
          <w:rFonts w:hint="eastAsia"/>
          <w:u w:val="single"/>
        </w:rPr>
        <w:t>集约与共享：碳中和目标下的高层节能建筑设计</w:t>
      </w:r>
      <w:bookmarkEnd w:id="24"/>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5" w:name="_Toc31613"/>
      <w:r>
        <w:rPr>
          <w:rFonts w:hint="eastAsia"/>
        </w:rPr>
        <w:t>分析依据</w:t>
      </w:r>
      <w:bookmarkEnd w:id="25"/>
    </w:p>
    <w:p w14:paraId="78FFF6BC">
      <w:pPr>
        <w:pStyle w:val="4"/>
      </w:pPr>
      <w:bookmarkStart w:id="26" w:name="_Toc10335"/>
      <w:r>
        <w:rPr>
          <w:rFonts w:hint="eastAsia"/>
        </w:rPr>
        <w:t>评价依据</w:t>
      </w:r>
      <w:bookmarkEnd w:id="26"/>
    </w:p>
    <w:p w14:paraId="19F69975">
      <w:pPr>
        <w:numPr>
          <w:ilvl w:val="0"/>
          <w:numId w:val="2"/>
        </w:numPr>
        <w:rPr>
          <w:lang w:val="en-US"/>
        </w:rPr>
      </w:pPr>
      <w:r>
        <w:rPr>
          <w:lang w:val="en-US"/>
        </w:rPr>
        <w:t>《绿色建筑评价标准》GB/T 50378-2019</w:t>
      </w:r>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7" w:name="_Toc139"/>
      <w:r>
        <w:rPr>
          <w:rFonts w:hint="eastAsia"/>
        </w:rPr>
        <w:t>标准要求</w:t>
      </w:r>
      <w:bookmarkEnd w:id="27"/>
    </w:p>
    <w:p w14:paraId="1DC3961A">
      <w:pPr>
        <w:ind w:firstLine="420" w:firstLineChars="200"/>
        <w:rPr>
          <w:lang w:val="en-US"/>
        </w:rPr>
      </w:pPr>
      <w:r>
        <w:rPr>
          <w:lang w:val="en-US"/>
        </w:rPr>
        <w:t>本报告以《建筑采光设计标准》GB 50033-2013为计算依据，以</w:t>
      </w:r>
      <w:bookmarkStart w:id="28" w:name="标准名称2"/>
      <w:r>
        <w:rPr>
          <w:lang w:val="en-US"/>
        </w:rPr>
        <w:t>《绿色建筑评价标准》GB/T 50378-2019</w:t>
      </w:r>
      <w:bookmarkEnd w:id="28"/>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pStyle w:val="3"/>
        <w:snapToGrid w:val="0"/>
        <w:spacing w:line="240" w:lineRule="auto"/>
        <w:ind w:firstLine="0" w:firstLineChars="0"/>
        <w:jc w:val="left"/>
        <w:rPr>
          <w:rFonts w:ascii="微软雅黑" w:hAnsi="微软雅黑" w:eastAsia="微软雅黑"/>
          <w:lang w:val="en-US"/>
        </w:rPr>
      </w:pPr>
      <w:r>
        <w:rPr>
          <w:rFonts w:ascii="微软雅黑" w:hAnsi="微软雅黑" w:eastAsia="微软雅黑"/>
          <w:lang w:val="en-US"/>
        </w:rPr>
        <w:t xml:space="preserve">■ </w:t>
      </w:r>
      <w:bookmarkStart w:id="29" w:name="标准名称"/>
      <w:r>
        <w:rPr>
          <w:rFonts w:ascii="微软雅黑" w:hAnsi="微软雅黑" w:eastAsia="微软雅黑"/>
          <w:b/>
          <w:lang w:val="en-US"/>
        </w:rPr>
        <w:t>《绿色建筑评价标准》GB/T 50378-2019</w:t>
      </w:r>
      <w:bookmarkEnd w:id="29"/>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0" w:name="地下采光评价要求"/>
      <w:r>
        <w:rPr>
          <w:szCs w:val="21"/>
        </w:rPr>
        <w:t>10%</w:t>
      </w:r>
      <w:bookmarkEnd w:id="30"/>
      <w:r>
        <w:rPr>
          <w:szCs w:val="21"/>
        </w:rPr>
        <w:t xml:space="preserve"> </w:t>
      </w:r>
      <w:r>
        <w:rPr>
          <w:rFonts w:hint="eastAsia"/>
          <w:szCs w:val="21"/>
        </w:rPr>
        <w:t>以上，得</w:t>
      </w:r>
      <w:bookmarkStart w:id="31" w:name="地下采光评价分值"/>
      <w:r>
        <w:rPr>
          <w:szCs w:val="21"/>
        </w:rPr>
        <w:t>3</w:t>
      </w:r>
      <w:bookmarkEnd w:id="31"/>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50378-2019条文5</w:t>
      </w:r>
      <w:r>
        <w:rPr>
          <w:rFonts w:ascii="微软雅黑" w:hAnsi="微软雅黑"/>
          <w:sz w:val="21"/>
          <w:szCs w:val="21"/>
        </w:rPr>
        <w:t>.2.8</w:t>
      </w:r>
      <w:r>
        <w:rPr>
          <w:rFonts w:hint="eastAsia" w:ascii="微软雅黑" w:hAnsi="微软雅黑"/>
          <w:sz w:val="21"/>
          <w:szCs w:val="21"/>
        </w:rPr>
        <w:t>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2" w:name="_Toc6459"/>
      <w:r>
        <w:rPr>
          <w:rFonts w:hint="eastAsia"/>
        </w:rPr>
        <w:t>应用软件与计算方法</w:t>
      </w:r>
      <w:bookmarkEnd w:id="32"/>
    </w:p>
    <w:p w14:paraId="26FBF851">
      <w:pPr>
        <w:pStyle w:val="4"/>
      </w:pPr>
      <w:bookmarkStart w:id="33" w:name="_Toc29309"/>
      <w:r>
        <w:t>软件</w:t>
      </w:r>
      <w:r>
        <w:rPr>
          <w:rFonts w:hint="eastAsia"/>
        </w:rPr>
        <w:t>选用</w:t>
      </w:r>
      <w:bookmarkEnd w:id="33"/>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4" w:name="_Toc10228"/>
      <w:r>
        <w:rPr>
          <w:rFonts w:hint="eastAsia"/>
        </w:rPr>
        <w:t>计算原理</w:t>
      </w:r>
      <w:bookmarkEnd w:id="34"/>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3150" cy="445135"/>
            <wp:effectExtent l="0" t="0" r="6350"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3150" cy="44513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5" w:name="_Toc585"/>
      <w:bookmarkStart w:id="36" w:name="_Toc264043630"/>
      <w:bookmarkStart w:id="37" w:name="_Toc290209341"/>
      <w:bookmarkStart w:id="38" w:name="_Toc312399796"/>
      <w:bookmarkStart w:id="39" w:name="_Toc264569237"/>
      <w:bookmarkStart w:id="40" w:name="_Toc290209317"/>
      <w:bookmarkStart w:id="41" w:name="_Toc275165387"/>
      <w:bookmarkStart w:id="42" w:name="_Toc290149059"/>
      <w:r>
        <w:rPr>
          <w:rFonts w:hint="eastAsia"/>
        </w:rPr>
        <w:t>计算方法</w:t>
      </w:r>
      <w:bookmarkEnd w:id="35"/>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6"/>
      <w:bookmarkEnd w:id="37"/>
      <w:bookmarkEnd w:id="38"/>
      <w:bookmarkEnd w:id="39"/>
      <w:bookmarkEnd w:id="40"/>
      <w:bookmarkEnd w:id="41"/>
      <w:bookmarkEnd w:id="42"/>
    </w:p>
    <w:p w14:paraId="4C4D7C68">
      <w:pPr>
        <w:pStyle w:val="2"/>
        <w:ind w:left="432" w:hanging="432"/>
      </w:pPr>
      <w:bookmarkStart w:id="43" w:name="_Toc1997"/>
      <w:r>
        <w:rPr>
          <w:rFonts w:hint="eastAsia"/>
        </w:rPr>
        <w:t>计算参数选用</w:t>
      </w:r>
      <w:bookmarkEnd w:id="43"/>
    </w:p>
    <w:p w14:paraId="53AA8715">
      <w:pPr>
        <w:pStyle w:val="4"/>
      </w:pPr>
      <w:bookmarkStart w:id="44" w:name="_Toc27559"/>
      <w:r>
        <w:rPr>
          <w:rFonts w:hint="eastAsia"/>
        </w:rPr>
        <w:t>模拟条件</w:t>
      </w:r>
      <w:bookmarkEnd w:id="44"/>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房间面积(m2)</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5" w:name="网格划分小房间面积"/>
            <w:r>
              <w:rPr>
                <w:rFonts w:hint="eastAsia"/>
              </w:rPr>
              <w:t>10</w:t>
            </w:r>
            <w:bookmarkEnd w:id="45"/>
          </w:p>
        </w:tc>
        <w:tc>
          <w:tcPr>
            <w:tcW w:w="3272" w:type="dxa"/>
            <w:shd w:val="clear" w:color="auto" w:fill="auto"/>
            <w:vAlign w:val="center"/>
          </w:tcPr>
          <w:p w14:paraId="2F5D027D">
            <w:pPr>
              <w:adjustRightInd w:val="0"/>
              <w:jc w:val="center"/>
            </w:pPr>
            <w:bookmarkStart w:id="46" w:name="小房间网格大小"/>
            <w:r>
              <w:rPr>
                <w:rFonts w:hint="eastAsia"/>
              </w:rPr>
              <w:t>0.25</w:t>
            </w:r>
            <w:bookmarkEnd w:id="46"/>
          </w:p>
        </w:tc>
      </w:tr>
      <w:tr w14:paraId="301CC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7" w:name="网格划分房间面积"/>
            <w:r>
              <w:rPr>
                <w:rFonts w:hint="eastAsia"/>
              </w:rPr>
              <w:t>10~100</w:t>
            </w:r>
            <w:bookmarkEnd w:id="47"/>
          </w:p>
        </w:tc>
        <w:tc>
          <w:tcPr>
            <w:tcW w:w="3272" w:type="dxa"/>
            <w:shd w:val="clear" w:color="auto" w:fill="auto"/>
            <w:vAlign w:val="center"/>
          </w:tcPr>
          <w:p w14:paraId="658B67DF">
            <w:pPr>
              <w:adjustRightInd w:val="0"/>
              <w:jc w:val="center"/>
            </w:pPr>
            <w:bookmarkStart w:id="48" w:name="网格大小"/>
            <w:r>
              <w:rPr>
                <w:rFonts w:hint="eastAsia"/>
              </w:rPr>
              <w:t>0.50</w:t>
            </w:r>
            <w:bookmarkEnd w:id="48"/>
          </w:p>
        </w:tc>
      </w:tr>
      <w:tr w14:paraId="6DAC1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49" w:name="网格划分大房间面积"/>
            <w:r>
              <w:rPr>
                <w:rFonts w:hint="eastAsia"/>
              </w:rPr>
              <w:t>100</w:t>
            </w:r>
            <w:bookmarkEnd w:id="49"/>
          </w:p>
        </w:tc>
        <w:tc>
          <w:tcPr>
            <w:tcW w:w="3272" w:type="dxa"/>
            <w:shd w:val="clear" w:color="auto" w:fill="auto"/>
            <w:vAlign w:val="center"/>
          </w:tcPr>
          <w:p w14:paraId="004B8EA5">
            <w:pPr>
              <w:adjustRightInd w:val="0"/>
              <w:jc w:val="center"/>
            </w:pPr>
            <w:bookmarkStart w:id="50" w:name="大房间网格大小"/>
            <w:r>
              <w:rPr>
                <w:rFonts w:hint="eastAsia"/>
              </w:rPr>
              <w:t>1.00</w:t>
            </w:r>
            <w:bookmarkEnd w:id="50"/>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1" w:name="_Toc3353"/>
      <w:r>
        <w:rPr>
          <w:rFonts w:hint="eastAsia"/>
        </w:rPr>
        <w:t>建筑饰面材料参数</w:t>
      </w:r>
      <w:bookmarkEnd w:id="5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gridCol w:w="2481"/>
      </w:tblGrid>
      <w:tr w14:paraId="4CF29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14:paraId="23AD5DC2">
            <w:pPr>
              <w:pStyle w:val="3"/>
              <w:ind w:firstLine="0" w:firstLineChars="0"/>
              <w:jc w:val="center"/>
              <w:rPr>
                <w:rFonts w:ascii="宋体" w:hAnsi="宋体"/>
                <w:sz w:val="18"/>
                <w:szCs w:val="18"/>
                <w:lang w:val="en-US"/>
              </w:rPr>
            </w:pPr>
            <w:r>
              <w:rPr>
                <w:rFonts w:hint="eastAsia"/>
                <w:b/>
                <w:szCs w:val="18"/>
              </w:rPr>
              <w:t>建筑饰面材料选用与反射比取值</w:t>
            </w:r>
          </w:p>
        </w:tc>
      </w:tr>
      <w:tr w14:paraId="5513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bottom w:val="single" w:color="auto" w:sz="4" w:space="0"/>
            </w:tcBorders>
            <w:shd w:val="clear" w:color="auto" w:fill="E6E6E6"/>
            <w:vAlign w:val="center"/>
          </w:tcPr>
          <w:p w14:paraId="11EFA678">
            <w:pPr>
              <w:jc w:val="center"/>
            </w:pPr>
            <w:r>
              <w:rPr>
                <w:rFonts w:hint="eastAsia"/>
              </w:rPr>
              <w:t>部位</w:t>
            </w:r>
          </w:p>
        </w:tc>
        <w:tc>
          <w:tcPr>
            <w:tcW w:w="3402" w:type="dxa"/>
            <w:tcBorders>
              <w:top w:val="single" w:color="auto" w:sz="4" w:space="0"/>
              <w:bottom w:val="single" w:color="auto" w:sz="4" w:space="0"/>
            </w:tcBorders>
            <w:shd w:val="clear" w:color="auto" w:fill="E6E6E6"/>
            <w:vAlign w:val="center"/>
          </w:tcPr>
          <w:p w14:paraId="31D2035D">
            <w:pPr>
              <w:jc w:val="center"/>
            </w:pPr>
            <w:r>
              <w:rPr>
                <w:rFonts w:hint="eastAsia"/>
              </w:rPr>
              <w:t>反射比材料设计取值</w:t>
            </w:r>
          </w:p>
        </w:tc>
        <w:tc>
          <w:tcPr>
            <w:tcW w:w="2481" w:type="dxa"/>
            <w:tcBorders>
              <w:top w:val="single" w:color="auto" w:sz="4" w:space="0"/>
              <w:bottom w:val="single" w:color="auto" w:sz="4" w:space="0"/>
            </w:tcBorders>
            <w:shd w:val="clear" w:color="auto" w:fill="E6E6E6"/>
            <w:vAlign w:val="center"/>
          </w:tcPr>
          <w:p w14:paraId="60D7E259">
            <w:pPr>
              <w:jc w:val="center"/>
            </w:pPr>
            <w:r>
              <w:rPr>
                <w:rFonts w:hint="eastAsia"/>
              </w:rPr>
              <w:t>备注</w:t>
            </w:r>
          </w:p>
        </w:tc>
      </w:tr>
      <w:tr w14:paraId="5C1C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5FDD8DFC">
            <w:pPr>
              <w:jc w:val="center"/>
            </w:pPr>
            <w:r>
              <w:rPr>
                <w:rFonts w:hint="eastAsia"/>
              </w:rPr>
              <w:t>顶棚</w:t>
            </w:r>
          </w:p>
        </w:tc>
        <w:tc>
          <w:tcPr>
            <w:tcW w:w="3402" w:type="dxa"/>
            <w:tcBorders>
              <w:top w:val="single" w:color="auto" w:sz="4" w:space="0"/>
            </w:tcBorders>
            <w:shd w:val="clear" w:color="auto" w:fill="auto"/>
            <w:vAlign w:val="center"/>
          </w:tcPr>
          <w:p w14:paraId="519CD363">
            <w:pPr>
              <w:jc w:val="center"/>
            </w:pPr>
            <w:bookmarkStart w:id="52" w:name="顶棚反射比"/>
            <w:r>
              <w:rPr>
                <w:rFonts w:hint="eastAsia"/>
              </w:rPr>
              <w:t>0.75</w:t>
            </w:r>
            <w:bookmarkEnd w:id="52"/>
          </w:p>
        </w:tc>
        <w:tc>
          <w:tcPr>
            <w:tcW w:w="2481" w:type="dxa"/>
            <w:tcBorders>
              <w:top w:val="single" w:color="auto" w:sz="4" w:space="0"/>
            </w:tcBorders>
            <w:shd w:val="clear" w:color="auto" w:fill="auto"/>
            <w:vAlign w:val="center"/>
          </w:tcPr>
          <w:p w14:paraId="08666AD0">
            <w:pPr>
              <w:jc w:val="center"/>
            </w:pPr>
          </w:p>
        </w:tc>
      </w:tr>
      <w:tr w14:paraId="1C85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9673B6C">
            <w:pPr>
              <w:jc w:val="center"/>
            </w:pPr>
            <w:r>
              <w:rPr>
                <w:rFonts w:hint="eastAsia"/>
              </w:rPr>
              <w:t>地面</w:t>
            </w:r>
          </w:p>
        </w:tc>
        <w:tc>
          <w:tcPr>
            <w:tcW w:w="3402" w:type="dxa"/>
            <w:tcBorders>
              <w:top w:val="single" w:color="auto" w:sz="4" w:space="0"/>
            </w:tcBorders>
            <w:shd w:val="clear" w:color="auto" w:fill="auto"/>
            <w:vAlign w:val="center"/>
          </w:tcPr>
          <w:p w14:paraId="185F83C4">
            <w:pPr>
              <w:jc w:val="center"/>
            </w:pPr>
            <w:bookmarkStart w:id="53" w:name="地面反射比"/>
            <w:r>
              <w:rPr>
                <w:rFonts w:hint="eastAsia"/>
              </w:rPr>
              <w:t>0.30</w:t>
            </w:r>
            <w:bookmarkEnd w:id="53"/>
          </w:p>
        </w:tc>
        <w:tc>
          <w:tcPr>
            <w:tcW w:w="2481" w:type="dxa"/>
            <w:tcBorders>
              <w:top w:val="single" w:color="auto" w:sz="4" w:space="0"/>
            </w:tcBorders>
            <w:shd w:val="clear" w:color="auto" w:fill="auto"/>
            <w:vAlign w:val="center"/>
          </w:tcPr>
          <w:p w14:paraId="234EAE67">
            <w:pPr>
              <w:jc w:val="center"/>
            </w:pPr>
          </w:p>
        </w:tc>
      </w:tr>
      <w:tr w14:paraId="2539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4034B9A">
            <w:pPr>
              <w:jc w:val="center"/>
            </w:pPr>
            <w:r>
              <w:rPr>
                <w:rFonts w:hint="eastAsia"/>
              </w:rPr>
              <w:t>墙面</w:t>
            </w:r>
          </w:p>
        </w:tc>
        <w:tc>
          <w:tcPr>
            <w:tcW w:w="3402" w:type="dxa"/>
            <w:tcBorders>
              <w:top w:val="single" w:color="auto" w:sz="4" w:space="0"/>
            </w:tcBorders>
            <w:shd w:val="clear" w:color="auto" w:fill="auto"/>
            <w:vAlign w:val="center"/>
          </w:tcPr>
          <w:p w14:paraId="4D7838C6">
            <w:pPr>
              <w:jc w:val="center"/>
            </w:pPr>
            <w:bookmarkStart w:id="54" w:name="墙面反射比"/>
            <w:r>
              <w:rPr>
                <w:rFonts w:hint="eastAsia"/>
              </w:rPr>
              <w:t>0.60</w:t>
            </w:r>
            <w:bookmarkEnd w:id="54"/>
          </w:p>
        </w:tc>
        <w:tc>
          <w:tcPr>
            <w:tcW w:w="2481" w:type="dxa"/>
            <w:tcBorders>
              <w:top w:val="single" w:color="auto" w:sz="4" w:space="0"/>
            </w:tcBorders>
            <w:shd w:val="clear" w:color="auto" w:fill="auto"/>
            <w:vAlign w:val="center"/>
          </w:tcPr>
          <w:p w14:paraId="1826D801">
            <w:pPr>
              <w:jc w:val="center"/>
            </w:pPr>
          </w:p>
        </w:tc>
      </w:tr>
      <w:tr w14:paraId="3E57D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21E043F9">
            <w:pPr>
              <w:jc w:val="center"/>
            </w:pPr>
            <w:r>
              <w:rPr>
                <w:rFonts w:hint="eastAsia"/>
              </w:rPr>
              <w:t>外表面</w:t>
            </w:r>
          </w:p>
        </w:tc>
        <w:tc>
          <w:tcPr>
            <w:tcW w:w="3402" w:type="dxa"/>
            <w:tcBorders>
              <w:top w:val="single" w:color="auto" w:sz="4" w:space="0"/>
            </w:tcBorders>
            <w:shd w:val="clear" w:color="auto" w:fill="auto"/>
            <w:vAlign w:val="center"/>
          </w:tcPr>
          <w:p w14:paraId="339C58D6">
            <w:pPr>
              <w:jc w:val="center"/>
            </w:pPr>
            <w:bookmarkStart w:id="55" w:name="外表面反射比"/>
            <w:r>
              <w:rPr>
                <w:rFonts w:hint="eastAsia"/>
              </w:rPr>
              <w:t>0.30</w:t>
            </w:r>
            <w:bookmarkEnd w:id="55"/>
          </w:p>
        </w:tc>
        <w:tc>
          <w:tcPr>
            <w:tcW w:w="2481" w:type="dxa"/>
            <w:tcBorders>
              <w:top w:val="single" w:color="auto" w:sz="4" w:space="0"/>
            </w:tcBorders>
            <w:shd w:val="clear" w:color="auto" w:fill="auto"/>
            <w:vAlign w:val="center"/>
          </w:tcPr>
          <w:p w14:paraId="1008D81F">
            <w:pPr>
              <w:jc w:val="center"/>
            </w:pPr>
          </w:p>
        </w:tc>
      </w:tr>
    </w:tbl>
    <w:p w14:paraId="49E9F497">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2F59267D">
      <w:pPr>
        <w:pStyle w:val="4"/>
      </w:pPr>
      <w:bookmarkStart w:id="56" w:name="_Toc816"/>
      <w:r>
        <w:rPr>
          <w:rFonts w:hint="eastAsia"/>
        </w:rPr>
        <w:t>门窗类型参数</w:t>
      </w:r>
      <w:bookmarkEnd w:id="56"/>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7" w:name="_Toc3417"/>
      <w:bookmarkStart w:id="58" w:name="窗"/>
      <w:r>
        <w:t>普通</w:t>
      </w:r>
      <w:r>
        <w:rPr>
          <w:rFonts w:hint="eastAsia"/>
        </w:rPr>
        <w:t>窗</w:t>
      </w:r>
      <w:bookmarkEnd w:id="57"/>
    </w:p>
    <w:bookmarkEnd w:id="5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04E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4F956">
            <w:pPr>
              <w:jc w:val="center"/>
              <w:rPr>
                <w:sz w:val="21"/>
                <w:szCs w:val="21"/>
              </w:rPr>
            </w:pPr>
            <w:r>
              <w:rPr>
                <w:sz w:val="21"/>
                <w:szCs w:val="21"/>
              </w:rPr>
              <w:t>门窗编号</w:t>
            </w:r>
          </w:p>
        </w:tc>
        <w:tc>
          <w:tcPr>
            <w:shd w:val="clear" w:color="auto" w:fill="E6E6E6"/>
            <w:vAlign w:val="center"/>
          </w:tcPr>
          <w:p w14:paraId="601BE816">
            <w:pPr>
              <w:jc w:val="center"/>
              <w:rPr>
                <w:sz w:val="21"/>
                <w:szCs w:val="21"/>
              </w:rPr>
            </w:pPr>
            <w:r>
              <w:rPr>
                <w:sz w:val="21"/>
                <w:szCs w:val="21"/>
              </w:rPr>
              <w:t>宽度(mm)</w:t>
            </w:r>
          </w:p>
        </w:tc>
        <w:tc>
          <w:tcPr>
            <w:shd w:val="clear" w:color="auto" w:fill="E6E6E6"/>
            <w:vAlign w:val="center"/>
          </w:tcPr>
          <w:p w14:paraId="3A197893">
            <w:pPr>
              <w:jc w:val="center"/>
              <w:rPr>
                <w:sz w:val="21"/>
                <w:szCs w:val="21"/>
              </w:rPr>
            </w:pPr>
            <w:r>
              <w:rPr>
                <w:sz w:val="21"/>
                <w:szCs w:val="21"/>
              </w:rPr>
              <w:t>高度(mm)</w:t>
            </w:r>
          </w:p>
        </w:tc>
        <w:tc>
          <w:tcPr>
            <w:shd w:val="clear" w:color="auto" w:fill="E6E6E6"/>
            <w:vAlign w:val="center"/>
          </w:tcPr>
          <w:p w14:paraId="37A36C07">
            <w:pPr>
              <w:jc w:val="center"/>
              <w:rPr>
                <w:sz w:val="21"/>
                <w:szCs w:val="21"/>
              </w:rPr>
            </w:pPr>
            <w:r>
              <w:rPr>
                <w:sz w:val="21"/>
                <w:szCs w:val="21"/>
              </w:rPr>
              <w:t>窗框类型</w:t>
            </w:r>
          </w:p>
        </w:tc>
        <w:tc>
          <w:tcPr>
            <w:shd w:val="clear" w:color="auto" w:fill="E6E6E6"/>
            <w:vAlign w:val="center"/>
          </w:tcPr>
          <w:p w14:paraId="6C58A6D8">
            <w:pPr>
              <w:jc w:val="center"/>
              <w:rPr>
                <w:sz w:val="21"/>
                <w:szCs w:val="21"/>
              </w:rPr>
            </w:pPr>
            <w:r>
              <w:rPr>
                <w:sz w:val="21"/>
                <w:szCs w:val="21"/>
              </w:rPr>
              <w:t>玻璃类型</w:t>
            </w:r>
          </w:p>
        </w:tc>
        <w:tc>
          <w:tcPr>
            <w:shd w:val="clear" w:color="auto" w:fill="E6E6E6"/>
            <w:vAlign w:val="center"/>
          </w:tcPr>
          <w:p w14:paraId="50CC9C65">
            <w:pPr>
              <w:jc w:val="center"/>
              <w:rPr>
                <w:sz w:val="21"/>
                <w:szCs w:val="21"/>
              </w:rPr>
            </w:pPr>
            <w:r>
              <w:rPr>
                <w:sz w:val="21"/>
                <w:szCs w:val="21"/>
              </w:rPr>
              <w:t>可见光透射比</w:t>
            </w:r>
          </w:p>
        </w:tc>
        <w:tc>
          <w:tcPr>
            <w:shd w:val="clear" w:color="auto" w:fill="E6E6E6"/>
            <w:vAlign w:val="center"/>
          </w:tcPr>
          <w:p w14:paraId="45BCE01B">
            <w:pPr>
              <w:jc w:val="center"/>
              <w:rPr>
                <w:sz w:val="21"/>
                <w:szCs w:val="21"/>
              </w:rPr>
            </w:pPr>
            <w:r>
              <w:rPr>
                <w:sz w:val="21"/>
                <w:szCs w:val="21"/>
              </w:rPr>
              <w:t>玻璃反射比</w:t>
            </w:r>
          </w:p>
        </w:tc>
      </w:tr>
      <w:tr w14:paraId="2AEE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B68DE1">
            <w:pPr>
              <w:jc w:val="center"/>
              <w:rPr>
                <w:sz w:val="21"/>
                <w:szCs w:val="21"/>
              </w:rPr>
            </w:pPr>
            <w:r>
              <w:rPr>
                <w:sz w:val="21"/>
                <w:szCs w:val="21"/>
              </w:rPr>
              <w:t>C1509</w:t>
            </w:r>
          </w:p>
        </w:tc>
        <w:tc>
          <w:tcPr>
            <w:vAlign w:val="center"/>
          </w:tcPr>
          <w:p w14:paraId="366D932B">
            <w:pPr>
              <w:jc w:val="center"/>
              <w:rPr>
                <w:sz w:val="21"/>
                <w:szCs w:val="21"/>
              </w:rPr>
            </w:pPr>
            <w:r>
              <w:rPr>
                <w:sz w:val="21"/>
                <w:szCs w:val="21"/>
              </w:rPr>
              <w:t>1500</w:t>
            </w:r>
          </w:p>
        </w:tc>
        <w:tc>
          <w:tcPr>
            <w:vAlign w:val="center"/>
          </w:tcPr>
          <w:p w14:paraId="0E7A7935">
            <w:pPr>
              <w:jc w:val="center"/>
              <w:rPr>
                <w:sz w:val="21"/>
                <w:szCs w:val="21"/>
              </w:rPr>
            </w:pPr>
            <w:r>
              <w:rPr>
                <w:sz w:val="21"/>
                <w:szCs w:val="21"/>
              </w:rPr>
              <w:t>900</w:t>
            </w:r>
          </w:p>
        </w:tc>
        <w:tc>
          <w:tcPr>
            <w:vAlign w:val="center"/>
          </w:tcPr>
          <w:p w14:paraId="7C3E2DB2">
            <w:pPr>
              <w:jc w:val="center"/>
              <w:rPr>
                <w:sz w:val="21"/>
                <w:szCs w:val="21"/>
              </w:rPr>
            </w:pPr>
            <w:r>
              <w:rPr>
                <w:sz w:val="21"/>
                <w:szCs w:val="21"/>
              </w:rPr>
              <w:t>单层铝窗</w:t>
            </w:r>
          </w:p>
        </w:tc>
        <w:tc>
          <w:tcPr>
            <w:vAlign w:val="center"/>
          </w:tcPr>
          <w:p w14:paraId="10AF1B91">
            <w:pPr>
              <w:jc w:val="center"/>
              <w:rPr>
                <w:sz w:val="21"/>
                <w:szCs w:val="21"/>
              </w:rPr>
            </w:pPr>
            <w:r>
              <w:rPr>
                <w:sz w:val="21"/>
                <w:szCs w:val="21"/>
              </w:rPr>
              <w:t>普通玻璃</w:t>
            </w:r>
          </w:p>
        </w:tc>
        <w:tc>
          <w:tcPr>
            <w:vAlign w:val="center"/>
          </w:tcPr>
          <w:p w14:paraId="7B68A9B9">
            <w:pPr>
              <w:jc w:val="center"/>
              <w:rPr>
                <w:sz w:val="21"/>
                <w:szCs w:val="21"/>
              </w:rPr>
            </w:pPr>
            <w:r>
              <w:rPr>
                <w:sz w:val="21"/>
                <w:szCs w:val="21"/>
              </w:rPr>
              <w:t>0.89</w:t>
            </w:r>
          </w:p>
        </w:tc>
        <w:tc>
          <w:tcPr>
            <w:vAlign w:val="center"/>
          </w:tcPr>
          <w:p w14:paraId="2CAC4D50">
            <w:pPr>
              <w:jc w:val="center"/>
              <w:rPr>
                <w:sz w:val="21"/>
                <w:szCs w:val="21"/>
              </w:rPr>
            </w:pPr>
            <w:r>
              <w:rPr>
                <w:sz w:val="21"/>
                <w:szCs w:val="21"/>
              </w:rPr>
              <w:t>0.08</w:t>
            </w:r>
          </w:p>
        </w:tc>
      </w:tr>
      <w:tr w14:paraId="2BC8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A103F1">
            <w:pPr>
              <w:jc w:val="center"/>
              <w:rPr>
                <w:sz w:val="21"/>
                <w:szCs w:val="21"/>
              </w:rPr>
            </w:pPr>
            <w:r>
              <w:rPr>
                <w:sz w:val="21"/>
                <w:szCs w:val="21"/>
              </w:rPr>
              <w:t>C1515</w:t>
            </w:r>
          </w:p>
        </w:tc>
        <w:tc>
          <w:tcPr>
            <w:vAlign w:val="center"/>
          </w:tcPr>
          <w:p w14:paraId="4E583BBA">
            <w:pPr>
              <w:jc w:val="center"/>
              <w:rPr>
                <w:sz w:val="21"/>
                <w:szCs w:val="21"/>
              </w:rPr>
            </w:pPr>
            <w:r>
              <w:rPr>
                <w:sz w:val="21"/>
                <w:szCs w:val="21"/>
              </w:rPr>
              <w:t>1500</w:t>
            </w:r>
          </w:p>
        </w:tc>
        <w:tc>
          <w:tcPr>
            <w:vAlign w:val="center"/>
          </w:tcPr>
          <w:p w14:paraId="1588C7B6">
            <w:pPr>
              <w:jc w:val="center"/>
              <w:rPr>
                <w:sz w:val="21"/>
                <w:szCs w:val="21"/>
              </w:rPr>
            </w:pPr>
            <w:r>
              <w:rPr>
                <w:sz w:val="21"/>
                <w:szCs w:val="21"/>
              </w:rPr>
              <w:t>1500</w:t>
            </w:r>
          </w:p>
        </w:tc>
        <w:tc>
          <w:tcPr>
            <w:vAlign w:val="center"/>
          </w:tcPr>
          <w:p w14:paraId="17F5D6E2">
            <w:pPr>
              <w:jc w:val="center"/>
              <w:rPr>
                <w:sz w:val="21"/>
                <w:szCs w:val="21"/>
              </w:rPr>
            </w:pPr>
            <w:r>
              <w:rPr>
                <w:sz w:val="21"/>
                <w:szCs w:val="21"/>
              </w:rPr>
              <w:t>单层铝窗</w:t>
            </w:r>
          </w:p>
        </w:tc>
        <w:tc>
          <w:tcPr>
            <w:vAlign w:val="center"/>
          </w:tcPr>
          <w:p w14:paraId="600F8ABA">
            <w:pPr>
              <w:jc w:val="center"/>
              <w:rPr>
                <w:sz w:val="21"/>
                <w:szCs w:val="21"/>
              </w:rPr>
            </w:pPr>
            <w:r>
              <w:rPr>
                <w:sz w:val="21"/>
                <w:szCs w:val="21"/>
              </w:rPr>
              <w:t>普通玻璃</w:t>
            </w:r>
          </w:p>
        </w:tc>
        <w:tc>
          <w:tcPr>
            <w:vAlign w:val="center"/>
          </w:tcPr>
          <w:p w14:paraId="4CD648D9">
            <w:pPr>
              <w:jc w:val="center"/>
              <w:rPr>
                <w:sz w:val="21"/>
                <w:szCs w:val="21"/>
              </w:rPr>
            </w:pPr>
            <w:r>
              <w:rPr>
                <w:sz w:val="21"/>
                <w:szCs w:val="21"/>
              </w:rPr>
              <w:t>0.89</w:t>
            </w:r>
          </w:p>
        </w:tc>
        <w:tc>
          <w:tcPr>
            <w:vAlign w:val="center"/>
          </w:tcPr>
          <w:p w14:paraId="1D618235">
            <w:pPr>
              <w:jc w:val="center"/>
              <w:rPr>
                <w:sz w:val="21"/>
                <w:szCs w:val="21"/>
              </w:rPr>
            </w:pPr>
            <w:r>
              <w:rPr>
                <w:sz w:val="21"/>
                <w:szCs w:val="21"/>
              </w:rPr>
              <w:t>0.08</w:t>
            </w:r>
          </w:p>
        </w:tc>
      </w:tr>
      <w:tr w14:paraId="00D42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5DA9D4">
            <w:pPr>
              <w:jc w:val="center"/>
              <w:rPr>
                <w:sz w:val="21"/>
                <w:szCs w:val="21"/>
              </w:rPr>
            </w:pPr>
            <w:r>
              <w:rPr>
                <w:sz w:val="21"/>
                <w:szCs w:val="21"/>
              </w:rPr>
              <w:t>C1518</w:t>
            </w:r>
          </w:p>
        </w:tc>
        <w:tc>
          <w:tcPr>
            <w:vAlign w:val="center"/>
          </w:tcPr>
          <w:p w14:paraId="683A9C52">
            <w:pPr>
              <w:jc w:val="center"/>
              <w:rPr>
                <w:sz w:val="21"/>
                <w:szCs w:val="21"/>
              </w:rPr>
            </w:pPr>
            <w:r>
              <w:rPr>
                <w:sz w:val="21"/>
                <w:szCs w:val="21"/>
              </w:rPr>
              <w:t>1500</w:t>
            </w:r>
          </w:p>
        </w:tc>
        <w:tc>
          <w:tcPr>
            <w:vAlign w:val="center"/>
          </w:tcPr>
          <w:p w14:paraId="69F4FA99">
            <w:pPr>
              <w:jc w:val="center"/>
              <w:rPr>
                <w:sz w:val="21"/>
                <w:szCs w:val="21"/>
              </w:rPr>
            </w:pPr>
            <w:r>
              <w:rPr>
                <w:sz w:val="21"/>
                <w:szCs w:val="21"/>
              </w:rPr>
              <w:t>1800</w:t>
            </w:r>
          </w:p>
        </w:tc>
        <w:tc>
          <w:tcPr>
            <w:vAlign w:val="center"/>
          </w:tcPr>
          <w:p w14:paraId="75884EF7">
            <w:pPr>
              <w:jc w:val="center"/>
              <w:rPr>
                <w:sz w:val="21"/>
                <w:szCs w:val="21"/>
              </w:rPr>
            </w:pPr>
            <w:r>
              <w:rPr>
                <w:sz w:val="21"/>
                <w:szCs w:val="21"/>
              </w:rPr>
              <w:t>单层铝窗</w:t>
            </w:r>
          </w:p>
        </w:tc>
        <w:tc>
          <w:tcPr>
            <w:vAlign w:val="center"/>
          </w:tcPr>
          <w:p w14:paraId="77ED1B0B">
            <w:pPr>
              <w:jc w:val="center"/>
              <w:rPr>
                <w:sz w:val="21"/>
                <w:szCs w:val="21"/>
              </w:rPr>
            </w:pPr>
            <w:r>
              <w:rPr>
                <w:sz w:val="21"/>
                <w:szCs w:val="21"/>
              </w:rPr>
              <w:t>普通玻璃</w:t>
            </w:r>
          </w:p>
        </w:tc>
        <w:tc>
          <w:tcPr>
            <w:vAlign w:val="center"/>
          </w:tcPr>
          <w:p w14:paraId="7540EAB7">
            <w:pPr>
              <w:jc w:val="center"/>
              <w:rPr>
                <w:sz w:val="21"/>
                <w:szCs w:val="21"/>
              </w:rPr>
            </w:pPr>
            <w:r>
              <w:rPr>
                <w:sz w:val="21"/>
                <w:szCs w:val="21"/>
              </w:rPr>
              <w:t>0.89</w:t>
            </w:r>
          </w:p>
        </w:tc>
        <w:tc>
          <w:tcPr>
            <w:vAlign w:val="center"/>
          </w:tcPr>
          <w:p w14:paraId="5DFD44C2">
            <w:pPr>
              <w:jc w:val="center"/>
              <w:rPr>
                <w:sz w:val="21"/>
                <w:szCs w:val="21"/>
              </w:rPr>
            </w:pPr>
            <w:r>
              <w:rPr>
                <w:sz w:val="21"/>
                <w:szCs w:val="21"/>
              </w:rPr>
              <w:t>0.08</w:t>
            </w:r>
          </w:p>
        </w:tc>
      </w:tr>
      <w:tr w14:paraId="5756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2D3333">
            <w:pPr>
              <w:jc w:val="center"/>
              <w:rPr>
                <w:sz w:val="21"/>
                <w:szCs w:val="21"/>
              </w:rPr>
            </w:pPr>
            <w:r>
              <w:rPr>
                <w:sz w:val="21"/>
                <w:szCs w:val="21"/>
              </w:rPr>
              <w:t>C1818</w:t>
            </w:r>
          </w:p>
        </w:tc>
        <w:tc>
          <w:tcPr>
            <w:vAlign w:val="center"/>
          </w:tcPr>
          <w:p w14:paraId="51FC4CAF">
            <w:pPr>
              <w:jc w:val="center"/>
              <w:rPr>
                <w:sz w:val="21"/>
                <w:szCs w:val="21"/>
              </w:rPr>
            </w:pPr>
            <w:r>
              <w:rPr>
                <w:sz w:val="21"/>
                <w:szCs w:val="21"/>
              </w:rPr>
              <w:t>1800</w:t>
            </w:r>
          </w:p>
        </w:tc>
        <w:tc>
          <w:tcPr>
            <w:vAlign w:val="center"/>
          </w:tcPr>
          <w:p w14:paraId="043A9837">
            <w:pPr>
              <w:jc w:val="center"/>
              <w:rPr>
                <w:sz w:val="21"/>
                <w:szCs w:val="21"/>
              </w:rPr>
            </w:pPr>
            <w:r>
              <w:rPr>
                <w:sz w:val="21"/>
                <w:szCs w:val="21"/>
              </w:rPr>
              <w:t>1800</w:t>
            </w:r>
          </w:p>
        </w:tc>
        <w:tc>
          <w:tcPr>
            <w:vAlign w:val="center"/>
          </w:tcPr>
          <w:p w14:paraId="20D2A1F2">
            <w:pPr>
              <w:jc w:val="center"/>
              <w:rPr>
                <w:sz w:val="21"/>
                <w:szCs w:val="21"/>
              </w:rPr>
            </w:pPr>
            <w:r>
              <w:rPr>
                <w:sz w:val="21"/>
                <w:szCs w:val="21"/>
              </w:rPr>
              <w:t>单层铝窗</w:t>
            </w:r>
          </w:p>
        </w:tc>
        <w:tc>
          <w:tcPr>
            <w:vAlign w:val="center"/>
          </w:tcPr>
          <w:p w14:paraId="747F7E54">
            <w:pPr>
              <w:jc w:val="center"/>
              <w:rPr>
                <w:sz w:val="21"/>
                <w:szCs w:val="21"/>
              </w:rPr>
            </w:pPr>
            <w:r>
              <w:rPr>
                <w:sz w:val="21"/>
                <w:szCs w:val="21"/>
              </w:rPr>
              <w:t>普通玻璃</w:t>
            </w:r>
          </w:p>
        </w:tc>
        <w:tc>
          <w:tcPr>
            <w:vAlign w:val="center"/>
          </w:tcPr>
          <w:p w14:paraId="70BAB32D">
            <w:pPr>
              <w:jc w:val="center"/>
              <w:rPr>
                <w:sz w:val="21"/>
                <w:szCs w:val="21"/>
              </w:rPr>
            </w:pPr>
            <w:r>
              <w:rPr>
                <w:sz w:val="21"/>
                <w:szCs w:val="21"/>
              </w:rPr>
              <w:t>0.89</w:t>
            </w:r>
          </w:p>
        </w:tc>
        <w:tc>
          <w:tcPr>
            <w:vAlign w:val="center"/>
          </w:tcPr>
          <w:p w14:paraId="4B6E3312">
            <w:pPr>
              <w:jc w:val="center"/>
              <w:rPr>
                <w:sz w:val="21"/>
                <w:szCs w:val="21"/>
              </w:rPr>
            </w:pPr>
            <w:r>
              <w:rPr>
                <w:sz w:val="21"/>
                <w:szCs w:val="21"/>
              </w:rPr>
              <w:t>0.08</w:t>
            </w:r>
          </w:p>
        </w:tc>
      </w:tr>
      <w:tr w14:paraId="0BDD2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ED1689">
            <w:pPr>
              <w:jc w:val="center"/>
              <w:rPr>
                <w:sz w:val="21"/>
                <w:szCs w:val="21"/>
              </w:rPr>
            </w:pPr>
            <w:r>
              <w:rPr>
                <w:sz w:val="21"/>
                <w:szCs w:val="21"/>
              </w:rPr>
              <w:t>C2018</w:t>
            </w:r>
          </w:p>
        </w:tc>
        <w:tc>
          <w:tcPr>
            <w:vAlign w:val="center"/>
          </w:tcPr>
          <w:p w14:paraId="5F2E7BB8">
            <w:pPr>
              <w:jc w:val="center"/>
              <w:rPr>
                <w:sz w:val="21"/>
                <w:szCs w:val="21"/>
              </w:rPr>
            </w:pPr>
            <w:r>
              <w:rPr>
                <w:sz w:val="21"/>
                <w:szCs w:val="21"/>
              </w:rPr>
              <w:t>2000</w:t>
            </w:r>
          </w:p>
        </w:tc>
        <w:tc>
          <w:tcPr>
            <w:vAlign w:val="center"/>
          </w:tcPr>
          <w:p w14:paraId="3FECE418">
            <w:pPr>
              <w:jc w:val="center"/>
              <w:rPr>
                <w:sz w:val="21"/>
                <w:szCs w:val="21"/>
              </w:rPr>
            </w:pPr>
            <w:r>
              <w:rPr>
                <w:sz w:val="21"/>
                <w:szCs w:val="21"/>
              </w:rPr>
              <w:t>1800</w:t>
            </w:r>
          </w:p>
        </w:tc>
        <w:tc>
          <w:tcPr>
            <w:vAlign w:val="center"/>
          </w:tcPr>
          <w:p w14:paraId="20493927">
            <w:pPr>
              <w:jc w:val="center"/>
              <w:rPr>
                <w:sz w:val="21"/>
                <w:szCs w:val="21"/>
              </w:rPr>
            </w:pPr>
            <w:r>
              <w:rPr>
                <w:sz w:val="21"/>
                <w:szCs w:val="21"/>
              </w:rPr>
              <w:t>单层铝窗</w:t>
            </w:r>
          </w:p>
        </w:tc>
        <w:tc>
          <w:tcPr>
            <w:vAlign w:val="center"/>
          </w:tcPr>
          <w:p w14:paraId="64A81F06">
            <w:pPr>
              <w:jc w:val="center"/>
              <w:rPr>
                <w:sz w:val="21"/>
                <w:szCs w:val="21"/>
              </w:rPr>
            </w:pPr>
            <w:r>
              <w:rPr>
                <w:sz w:val="21"/>
                <w:szCs w:val="21"/>
              </w:rPr>
              <w:t>普通玻璃</w:t>
            </w:r>
          </w:p>
        </w:tc>
        <w:tc>
          <w:tcPr>
            <w:vAlign w:val="center"/>
          </w:tcPr>
          <w:p w14:paraId="35B43643">
            <w:pPr>
              <w:jc w:val="center"/>
              <w:rPr>
                <w:sz w:val="21"/>
                <w:szCs w:val="21"/>
              </w:rPr>
            </w:pPr>
            <w:r>
              <w:rPr>
                <w:sz w:val="21"/>
                <w:szCs w:val="21"/>
              </w:rPr>
              <w:t>0.89</w:t>
            </w:r>
          </w:p>
        </w:tc>
        <w:tc>
          <w:tcPr>
            <w:vAlign w:val="center"/>
          </w:tcPr>
          <w:p w14:paraId="163CAD22">
            <w:pPr>
              <w:jc w:val="center"/>
              <w:rPr>
                <w:sz w:val="21"/>
                <w:szCs w:val="21"/>
              </w:rPr>
            </w:pPr>
            <w:r>
              <w:rPr>
                <w:sz w:val="21"/>
                <w:szCs w:val="21"/>
              </w:rPr>
              <w:t>0.08</w:t>
            </w:r>
          </w:p>
        </w:tc>
      </w:tr>
      <w:tr w14:paraId="3825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54E3B6">
            <w:pPr>
              <w:jc w:val="center"/>
              <w:rPr>
                <w:sz w:val="21"/>
                <w:szCs w:val="21"/>
              </w:rPr>
            </w:pPr>
            <w:r>
              <w:rPr>
                <w:sz w:val="21"/>
                <w:szCs w:val="21"/>
              </w:rPr>
              <w:t>C2109</w:t>
            </w:r>
          </w:p>
        </w:tc>
        <w:tc>
          <w:tcPr>
            <w:vAlign w:val="center"/>
          </w:tcPr>
          <w:p w14:paraId="4B15742D">
            <w:pPr>
              <w:jc w:val="center"/>
              <w:rPr>
                <w:sz w:val="21"/>
                <w:szCs w:val="21"/>
              </w:rPr>
            </w:pPr>
            <w:r>
              <w:rPr>
                <w:sz w:val="21"/>
                <w:szCs w:val="21"/>
              </w:rPr>
              <w:t>2100</w:t>
            </w:r>
          </w:p>
        </w:tc>
        <w:tc>
          <w:tcPr>
            <w:vAlign w:val="center"/>
          </w:tcPr>
          <w:p w14:paraId="6425E83B">
            <w:pPr>
              <w:jc w:val="center"/>
              <w:rPr>
                <w:sz w:val="21"/>
                <w:szCs w:val="21"/>
              </w:rPr>
            </w:pPr>
            <w:r>
              <w:rPr>
                <w:sz w:val="21"/>
                <w:szCs w:val="21"/>
              </w:rPr>
              <w:t>900</w:t>
            </w:r>
          </w:p>
        </w:tc>
        <w:tc>
          <w:tcPr>
            <w:vAlign w:val="center"/>
          </w:tcPr>
          <w:p w14:paraId="1E1845B5">
            <w:pPr>
              <w:jc w:val="center"/>
              <w:rPr>
                <w:sz w:val="21"/>
                <w:szCs w:val="21"/>
              </w:rPr>
            </w:pPr>
            <w:r>
              <w:rPr>
                <w:sz w:val="21"/>
                <w:szCs w:val="21"/>
              </w:rPr>
              <w:t>单层铝窗</w:t>
            </w:r>
          </w:p>
        </w:tc>
        <w:tc>
          <w:tcPr>
            <w:vAlign w:val="center"/>
          </w:tcPr>
          <w:p w14:paraId="39877602">
            <w:pPr>
              <w:jc w:val="center"/>
              <w:rPr>
                <w:sz w:val="21"/>
                <w:szCs w:val="21"/>
              </w:rPr>
            </w:pPr>
            <w:r>
              <w:rPr>
                <w:sz w:val="21"/>
                <w:szCs w:val="21"/>
              </w:rPr>
              <w:t>普通玻璃</w:t>
            </w:r>
          </w:p>
        </w:tc>
        <w:tc>
          <w:tcPr>
            <w:vAlign w:val="center"/>
          </w:tcPr>
          <w:p w14:paraId="20518F85">
            <w:pPr>
              <w:jc w:val="center"/>
              <w:rPr>
                <w:sz w:val="21"/>
                <w:szCs w:val="21"/>
              </w:rPr>
            </w:pPr>
            <w:r>
              <w:rPr>
                <w:sz w:val="21"/>
                <w:szCs w:val="21"/>
              </w:rPr>
              <w:t>0.89</w:t>
            </w:r>
          </w:p>
        </w:tc>
        <w:tc>
          <w:tcPr>
            <w:vAlign w:val="center"/>
          </w:tcPr>
          <w:p w14:paraId="7F60FFCA">
            <w:pPr>
              <w:jc w:val="center"/>
              <w:rPr>
                <w:sz w:val="21"/>
                <w:szCs w:val="21"/>
              </w:rPr>
            </w:pPr>
            <w:r>
              <w:rPr>
                <w:sz w:val="21"/>
                <w:szCs w:val="21"/>
              </w:rPr>
              <w:t>0.08</w:t>
            </w:r>
          </w:p>
        </w:tc>
      </w:tr>
      <w:tr w14:paraId="5FBE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352A19">
            <w:pPr>
              <w:jc w:val="center"/>
              <w:rPr>
                <w:sz w:val="21"/>
                <w:szCs w:val="21"/>
              </w:rPr>
            </w:pPr>
            <w:r>
              <w:rPr>
                <w:sz w:val="21"/>
                <w:szCs w:val="21"/>
              </w:rPr>
              <w:t>C3018</w:t>
            </w:r>
          </w:p>
        </w:tc>
        <w:tc>
          <w:tcPr>
            <w:vAlign w:val="center"/>
          </w:tcPr>
          <w:p w14:paraId="16A6F600">
            <w:pPr>
              <w:jc w:val="center"/>
              <w:rPr>
                <w:sz w:val="21"/>
                <w:szCs w:val="21"/>
              </w:rPr>
            </w:pPr>
            <w:r>
              <w:rPr>
                <w:sz w:val="21"/>
                <w:szCs w:val="21"/>
              </w:rPr>
              <w:t>3000</w:t>
            </w:r>
          </w:p>
        </w:tc>
        <w:tc>
          <w:tcPr>
            <w:vAlign w:val="center"/>
          </w:tcPr>
          <w:p w14:paraId="7695A2EA">
            <w:pPr>
              <w:jc w:val="center"/>
              <w:rPr>
                <w:sz w:val="21"/>
                <w:szCs w:val="21"/>
              </w:rPr>
            </w:pPr>
            <w:r>
              <w:rPr>
                <w:sz w:val="21"/>
                <w:szCs w:val="21"/>
              </w:rPr>
              <w:t>1800</w:t>
            </w:r>
          </w:p>
        </w:tc>
        <w:tc>
          <w:tcPr>
            <w:vAlign w:val="center"/>
          </w:tcPr>
          <w:p w14:paraId="0BB4E990">
            <w:pPr>
              <w:jc w:val="center"/>
              <w:rPr>
                <w:sz w:val="21"/>
                <w:szCs w:val="21"/>
              </w:rPr>
            </w:pPr>
            <w:r>
              <w:rPr>
                <w:sz w:val="21"/>
                <w:szCs w:val="21"/>
              </w:rPr>
              <w:t>单层铝窗</w:t>
            </w:r>
          </w:p>
        </w:tc>
        <w:tc>
          <w:tcPr>
            <w:vAlign w:val="center"/>
          </w:tcPr>
          <w:p w14:paraId="7214FEE8">
            <w:pPr>
              <w:jc w:val="center"/>
              <w:rPr>
                <w:sz w:val="21"/>
                <w:szCs w:val="21"/>
              </w:rPr>
            </w:pPr>
            <w:r>
              <w:rPr>
                <w:sz w:val="21"/>
                <w:szCs w:val="21"/>
              </w:rPr>
              <w:t>普通玻璃</w:t>
            </w:r>
          </w:p>
        </w:tc>
        <w:tc>
          <w:tcPr>
            <w:vAlign w:val="center"/>
          </w:tcPr>
          <w:p w14:paraId="38FFAC82">
            <w:pPr>
              <w:jc w:val="center"/>
              <w:rPr>
                <w:sz w:val="21"/>
                <w:szCs w:val="21"/>
              </w:rPr>
            </w:pPr>
            <w:r>
              <w:rPr>
                <w:sz w:val="21"/>
                <w:szCs w:val="21"/>
              </w:rPr>
              <w:t>0.89</w:t>
            </w:r>
          </w:p>
        </w:tc>
        <w:tc>
          <w:tcPr>
            <w:vAlign w:val="center"/>
          </w:tcPr>
          <w:p w14:paraId="70BC84A5">
            <w:pPr>
              <w:jc w:val="center"/>
              <w:rPr>
                <w:sz w:val="21"/>
                <w:szCs w:val="21"/>
              </w:rPr>
            </w:pPr>
            <w:r>
              <w:rPr>
                <w:sz w:val="21"/>
                <w:szCs w:val="21"/>
              </w:rPr>
              <w:t>0.08</w:t>
            </w:r>
          </w:p>
        </w:tc>
      </w:tr>
      <w:tr w14:paraId="04732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68619C">
            <w:pPr>
              <w:jc w:val="center"/>
              <w:rPr>
                <w:sz w:val="21"/>
                <w:szCs w:val="21"/>
              </w:rPr>
            </w:pPr>
            <w:r>
              <w:rPr>
                <w:sz w:val="21"/>
                <w:szCs w:val="21"/>
              </w:rPr>
              <w:t>C3309</w:t>
            </w:r>
          </w:p>
        </w:tc>
        <w:tc>
          <w:tcPr>
            <w:vAlign w:val="center"/>
          </w:tcPr>
          <w:p w14:paraId="7E948728">
            <w:pPr>
              <w:jc w:val="center"/>
              <w:rPr>
                <w:sz w:val="21"/>
                <w:szCs w:val="21"/>
              </w:rPr>
            </w:pPr>
            <w:r>
              <w:rPr>
                <w:sz w:val="21"/>
                <w:szCs w:val="21"/>
              </w:rPr>
              <w:t>3300</w:t>
            </w:r>
          </w:p>
        </w:tc>
        <w:tc>
          <w:tcPr>
            <w:vAlign w:val="center"/>
          </w:tcPr>
          <w:p w14:paraId="2C372D07">
            <w:pPr>
              <w:jc w:val="center"/>
              <w:rPr>
                <w:sz w:val="21"/>
                <w:szCs w:val="21"/>
              </w:rPr>
            </w:pPr>
            <w:r>
              <w:rPr>
                <w:sz w:val="21"/>
                <w:szCs w:val="21"/>
              </w:rPr>
              <w:t>900</w:t>
            </w:r>
          </w:p>
        </w:tc>
        <w:tc>
          <w:tcPr>
            <w:vAlign w:val="center"/>
          </w:tcPr>
          <w:p w14:paraId="39A36795">
            <w:pPr>
              <w:jc w:val="center"/>
              <w:rPr>
                <w:sz w:val="21"/>
                <w:szCs w:val="21"/>
              </w:rPr>
            </w:pPr>
            <w:r>
              <w:rPr>
                <w:sz w:val="21"/>
                <w:szCs w:val="21"/>
              </w:rPr>
              <w:t>单层铝窗</w:t>
            </w:r>
          </w:p>
        </w:tc>
        <w:tc>
          <w:tcPr>
            <w:vAlign w:val="center"/>
          </w:tcPr>
          <w:p w14:paraId="06406F40">
            <w:pPr>
              <w:jc w:val="center"/>
              <w:rPr>
                <w:sz w:val="21"/>
                <w:szCs w:val="21"/>
              </w:rPr>
            </w:pPr>
            <w:r>
              <w:rPr>
                <w:sz w:val="21"/>
                <w:szCs w:val="21"/>
              </w:rPr>
              <w:t>普通玻璃</w:t>
            </w:r>
          </w:p>
        </w:tc>
        <w:tc>
          <w:tcPr>
            <w:vAlign w:val="center"/>
          </w:tcPr>
          <w:p w14:paraId="1F7DB96A">
            <w:pPr>
              <w:jc w:val="center"/>
              <w:rPr>
                <w:sz w:val="21"/>
                <w:szCs w:val="21"/>
              </w:rPr>
            </w:pPr>
            <w:r>
              <w:rPr>
                <w:sz w:val="21"/>
                <w:szCs w:val="21"/>
              </w:rPr>
              <w:t>0.89</w:t>
            </w:r>
          </w:p>
        </w:tc>
        <w:tc>
          <w:tcPr>
            <w:vAlign w:val="center"/>
          </w:tcPr>
          <w:p w14:paraId="66A3244F">
            <w:pPr>
              <w:jc w:val="center"/>
              <w:rPr>
                <w:sz w:val="21"/>
                <w:szCs w:val="21"/>
              </w:rPr>
            </w:pPr>
            <w:r>
              <w:rPr>
                <w:sz w:val="21"/>
                <w:szCs w:val="21"/>
              </w:rPr>
              <w:t>0.08</w:t>
            </w:r>
          </w:p>
        </w:tc>
      </w:tr>
      <w:tr w14:paraId="4F51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EBC89E">
            <w:pPr>
              <w:jc w:val="center"/>
              <w:rPr>
                <w:sz w:val="21"/>
                <w:szCs w:val="21"/>
              </w:rPr>
            </w:pPr>
            <w:r>
              <w:rPr>
                <w:sz w:val="21"/>
                <w:szCs w:val="21"/>
              </w:rPr>
              <w:t>C3318</w:t>
            </w:r>
          </w:p>
        </w:tc>
        <w:tc>
          <w:tcPr>
            <w:vAlign w:val="center"/>
          </w:tcPr>
          <w:p w14:paraId="69340ECE">
            <w:pPr>
              <w:jc w:val="center"/>
              <w:rPr>
                <w:sz w:val="21"/>
                <w:szCs w:val="21"/>
              </w:rPr>
            </w:pPr>
            <w:r>
              <w:rPr>
                <w:sz w:val="21"/>
                <w:szCs w:val="21"/>
              </w:rPr>
              <w:t>3300</w:t>
            </w:r>
          </w:p>
        </w:tc>
        <w:tc>
          <w:tcPr>
            <w:vAlign w:val="center"/>
          </w:tcPr>
          <w:p w14:paraId="3BF26EDA">
            <w:pPr>
              <w:jc w:val="center"/>
              <w:rPr>
                <w:sz w:val="21"/>
                <w:szCs w:val="21"/>
              </w:rPr>
            </w:pPr>
            <w:r>
              <w:rPr>
                <w:sz w:val="21"/>
                <w:szCs w:val="21"/>
              </w:rPr>
              <w:t>1800</w:t>
            </w:r>
          </w:p>
        </w:tc>
        <w:tc>
          <w:tcPr>
            <w:vAlign w:val="center"/>
          </w:tcPr>
          <w:p w14:paraId="6D05D675">
            <w:pPr>
              <w:jc w:val="center"/>
              <w:rPr>
                <w:sz w:val="21"/>
                <w:szCs w:val="21"/>
              </w:rPr>
            </w:pPr>
            <w:r>
              <w:rPr>
                <w:sz w:val="21"/>
                <w:szCs w:val="21"/>
              </w:rPr>
              <w:t>单层铝窗</w:t>
            </w:r>
          </w:p>
        </w:tc>
        <w:tc>
          <w:tcPr>
            <w:vAlign w:val="center"/>
          </w:tcPr>
          <w:p w14:paraId="7D33AFA2">
            <w:pPr>
              <w:jc w:val="center"/>
              <w:rPr>
                <w:sz w:val="21"/>
                <w:szCs w:val="21"/>
              </w:rPr>
            </w:pPr>
            <w:r>
              <w:rPr>
                <w:sz w:val="21"/>
                <w:szCs w:val="21"/>
              </w:rPr>
              <w:t>普通玻璃</w:t>
            </w:r>
          </w:p>
        </w:tc>
        <w:tc>
          <w:tcPr>
            <w:vAlign w:val="center"/>
          </w:tcPr>
          <w:p w14:paraId="1C8BDDD0">
            <w:pPr>
              <w:jc w:val="center"/>
              <w:rPr>
                <w:sz w:val="21"/>
                <w:szCs w:val="21"/>
              </w:rPr>
            </w:pPr>
            <w:r>
              <w:rPr>
                <w:sz w:val="21"/>
                <w:szCs w:val="21"/>
              </w:rPr>
              <w:t>0.89</w:t>
            </w:r>
          </w:p>
        </w:tc>
        <w:tc>
          <w:tcPr>
            <w:vAlign w:val="center"/>
          </w:tcPr>
          <w:p w14:paraId="08BFB4E7">
            <w:pPr>
              <w:jc w:val="center"/>
              <w:rPr>
                <w:sz w:val="21"/>
                <w:szCs w:val="21"/>
              </w:rPr>
            </w:pPr>
            <w:r>
              <w:rPr>
                <w:sz w:val="21"/>
                <w:szCs w:val="21"/>
              </w:rPr>
              <w:t>0.08</w:t>
            </w:r>
          </w:p>
        </w:tc>
      </w:tr>
      <w:tr w14:paraId="77E31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835C5F">
            <w:pPr>
              <w:jc w:val="center"/>
              <w:rPr>
                <w:sz w:val="21"/>
                <w:szCs w:val="21"/>
              </w:rPr>
            </w:pPr>
            <w:r>
              <w:rPr>
                <w:sz w:val="21"/>
                <w:szCs w:val="21"/>
              </w:rPr>
              <w:t>ZM1521</w:t>
            </w:r>
          </w:p>
        </w:tc>
        <w:tc>
          <w:tcPr>
            <w:vAlign w:val="center"/>
          </w:tcPr>
          <w:p w14:paraId="2ABD0522">
            <w:pPr>
              <w:jc w:val="center"/>
              <w:rPr>
                <w:sz w:val="21"/>
                <w:szCs w:val="21"/>
              </w:rPr>
            </w:pPr>
            <w:r>
              <w:rPr>
                <w:sz w:val="21"/>
                <w:szCs w:val="21"/>
              </w:rPr>
              <w:t>1500</w:t>
            </w:r>
          </w:p>
        </w:tc>
        <w:tc>
          <w:tcPr>
            <w:vAlign w:val="center"/>
          </w:tcPr>
          <w:p w14:paraId="1BEA2F14">
            <w:pPr>
              <w:jc w:val="center"/>
              <w:rPr>
                <w:sz w:val="21"/>
                <w:szCs w:val="21"/>
              </w:rPr>
            </w:pPr>
            <w:r>
              <w:rPr>
                <w:sz w:val="21"/>
                <w:szCs w:val="21"/>
              </w:rPr>
              <w:t>2100</w:t>
            </w:r>
          </w:p>
        </w:tc>
        <w:tc>
          <w:tcPr>
            <w:vAlign w:val="center"/>
          </w:tcPr>
          <w:p w14:paraId="3A125171">
            <w:pPr>
              <w:jc w:val="center"/>
              <w:rPr>
                <w:sz w:val="21"/>
                <w:szCs w:val="21"/>
              </w:rPr>
            </w:pPr>
            <w:r>
              <w:rPr>
                <w:sz w:val="21"/>
                <w:szCs w:val="21"/>
              </w:rPr>
              <w:t>单层铝窗</w:t>
            </w:r>
          </w:p>
        </w:tc>
        <w:tc>
          <w:tcPr>
            <w:vAlign w:val="center"/>
          </w:tcPr>
          <w:p w14:paraId="4F923466">
            <w:pPr>
              <w:jc w:val="center"/>
              <w:rPr>
                <w:sz w:val="21"/>
                <w:szCs w:val="21"/>
              </w:rPr>
            </w:pPr>
            <w:r>
              <w:rPr>
                <w:sz w:val="21"/>
                <w:szCs w:val="21"/>
              </w:rPr>
              <w:t>普通玻璃</w:t>
            </w:r>
          </w:p>
        </w:tc>
        <w:tc>
          <w:tcPr>
            <w:vAlign w:val="center"/>
          </w:tcPr>
          <w:p w14:paraId="78AAC283">
            <w:pPr>
              <w:jc w:val="center"/>
              <w:rPr>
                <w:sz w:val="21"/>
                <w:szCs w:val="21"/>
              </w:rPr>
            </w:pPr>
            <w:r>
              <w:rPr>
                <w:sz w:val="21"/>
                <w:szCs w:val="21"/>
              </w:rPr>
              <w:t>0.89</w:t>
            </w:r>
          </w:p>
        </w:tc>
        <w:tc>
          <w:tcPr>
            <w:vAlign w:val="center"/>
          </w:tcPr>
          <w:p w14:paraId="68CA6277">
            <w:pPr>
              <w:jc w:val="center"/>
              <w:rPr>
                <w:sz w:val="21"/>
                <w:szCs w:val="21"/>
              </w:rPr>
            </w:pPr>
            <w:r>
              <w:rPr>
                <w:sz w:val="21"/>
                <w:szCs w:val="21"/>
              </w:rPr>
              <w:t>0.08</w:t>
            </w:r>
          </w:p>
        </w:tc>
      </w:tr>
      <w:tr w14:paraId="0445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855FD">
            <w:pPr>
              <w:jc w:val="center"/>
              <w:rPr>
                <w:sz w:val="21"/>
                <w:szCs w:val="21"/>
              </w:rPr>
            </w:pPr>
            <w:r>
              <w:rPr>
                <w:sz w:val="21"/>
                <w:szCs w:val="21"/>
              </w:rPr>
              <w:t>透光门-M1521</w:t>
            </w:r>
          </w:p>
        </w:tc>
        <w:tc>
          <w:tcPr>
            <w:vAlign w:val="center"/>
          </w:tcPr>
          <w:p w14:paraId="4DB9BD71">
            <w:pPr>
              <w:jc w:val="center"/>
              <w:rPr>
                <w:sz w:val="21"/>
                <w:szCs w:val="21"/>
              </w:rPr>
            </w:pPr>
            <w:r>
              <w:rPr>
                <w:sz w:val="21"/>
                <w:szCs w:val="21"/>
              </w:rPr>
              <w:t>1500</w:t>
            </w:r>
          </w:p>
        </w:tc>
        <w:tc>
          <w:tcPr>
            <w:vAlign w:val="center"/>
          </w:tcPr>
          <w:p w14:paraId="63125B6D">
            <w:pPr>
              <w:jc w:val="center"/>
              <w:rPr>
                <w:sz w:val="21"/>
                <w:szCs w:val="21"/>
              </w:rPr>
            </w:pPr>
            <w:r>
              <w:rPr>
                <w:sz w:val="21"/>
                <w:szCs w:val="21"/>
              </w:rPr>
              <w:t>2100</w:t>
            </w:r>
          </w:p>
        </w:tc>
        <w:tc>
          <w:tcPr>
            <w:vAlign w:val="center"/>
          </w:tcPr>
          <w:p w14:paraId="1A675794">
            <w:pPr>
              <w:jc w:val="center"/>
              <w:rPr>
                <w:sz w:val="21"/>
                <w:szCs w:val="21"/>
              </w:rPr>
            </w:pPr>
            <w:r>
              <w:rPr>
                <w:sz w:val="21"/>
                <w:szCs w:val="21"/>
              </w:rPr>
              <w:t>单层铝窗</w:t>
            </w:r>
          </w:p>
        </w:tc>
        <w:tc>
          <w:tcPr>
            <w:vAlign w:val="center"/>
          </w:tcPr>
          <w:p w14:paraId="092D97C8">
            <w:pPr>
              <w:jc w:val="center"/>
              <w:rPr>
                <w:sz w:val="21"/>
                <w:szCs w:val="21"/>
              </w:rPr>
            </w:pPr>
            <w:r>
              <w:rPr>
                <w:sz w:val="21"/>
                <w:szCs w:val="21"/>
              </w:rPr>
              <w:t>普通玻璃</w:t>
            </w:r>
          </w:p>
        </w:tc>
        <w:tc>
          <w:tcPr>
            <w:vAlign w:val="center"/>
          </w:tcPr>
          <w:p w14:paraId="33227C8D">
            <w:pPr>
              <w:jc w:val="center"/>
              <w:rPr>
                <w:sz w:val="21"/>
                <w:szCs w:val="21"/>
              </w:rPr>
            </w:pPr>
            <w:r>
              <w:rPr>
                <w:sz w:val="21"/>
                <w:szCs w:val="21"/>
              </w:rPr>
              <w:t>0.89</w:t>
            </w:r>
          </w:p>
        </w:tc>
        <w:tc>
          <w:tcPr>
            <w:vAlign w:val="center"/>
          </w:tcPr>
          <w:p w14:paraId="6B36B205">
            <w:pPr>
              <w:jc w:val="center"/>
              <w:rPr>
                <w:sz w:val="21"/>
                <w:szCs w:val="21"/>
              </w:rPr>
            </w:pPr>
            <w:r>
              <w:rPr>
                <w:sz w:val="21"/>
                <w:szCs w:val="21"/>
              </w:rPr>
              <w:t>0.08</w:t>
            </w:r>
          </w:p>
        </w:tc>
      </w:tr>
    </w:tbl>
    <w:p w14:paraId="1DEF4611">
      <w:pPr>
        <w:rPr>
          <w:lang w:val="en-US"/>
        </w:rPr>
      </w:pPr>
      <w:r>
        <w:rPr>
          <w:lang w:val="en-US"/>
        </w:rPr>
        <w:t>注：计算考虑了外窗玻璃的污染折减系数影响，系数取值0.9。</w:t>
      </w:r>
    </w:p>
    <w:p w14:paraId="742A5A07">
      <w:pPr>
        <w:rPr>
          <w:lang w:val="en-US"/>
        </w:rPr>
      </w:pPr>
    </w:p>
    <w:p w14:paraId="7F5FB7B0">
      <w:pPr>
        <w:pStyle w:val="5"/>
      </w:pPr>
      <w:bookmarkStart w:id="59" w:name="_Toc30337"/>
      <w:bookmarkStart w:id="60" w:name="幕墙"/>
      <w:r>
        <w:rPr>
          <w:rFonts w:hint="eastAsia"/>
        </w:rPr>
        <w:t>玻璃幕墙</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B84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A014B">
            <w:pPr>
              <w:jc w:val="center"/>
              <w:rPr>
                <w:sz w:val="21"/>
                <w:szCs w:val="21"/>
              </w:rPr>
            </w:pPr>
            <w:r>
              <w:rPr>
                <w:sz w:val="21"/>
                <w:szCs w:val="21"/>
              </w:rPr>
              <w:t>门窗编号</w:t>
            </w:r>
          </w:p>
        </w:tc>
        <w:tc>
          <w:tcPr>
            <w:shd w:val="clear" w:color="auto" w:fill="E6E6E6"/>
            <w:vAlign w:val="center"/>
          </w:tcPr>
          <w:p w14:paraId="2D5EB07C">
            <w:pPr>
              <w:jc w:val="center"/>
              <w:rPr>
                <w:sz w:val="21"/>
                <w:szCs w:val="21"/>
              </w:rPr>
            </w:pPr>
            <w:r>
              <w:rPr>
                <w:sz w:val="21"/>
                <w:szCs w:val="21"/>
              </w:rPr>
              <w:t>宽度(mm)</w:t>
            </w:r>
          </w:p>
        </w:tc>
        <w:tc>
          <w:tcPr>
            <w:shd w:val="clear" w:color="auto" w:fill="E6E6E6"/>
            <w:vAlign w:val="center"/>
          </w:tcPr>
          <w:p w14:paraId="4BE53800">
            <w:pPr>
              <w:jc w:val="center"/>
              <w:rPr>
                <w:sz w:val="21"/>
                <w:szCs w:val="21"/>
              </w:rPr>
            </w:pPr>
            <w:r>
              <w:rPr>
                <w:sz w:val="21"/>
                <w:szCs w:val="21"/>
              </w:rPr>
              <w:t>高度(mm)</w:t>
            </w:r>
          </w:p>
        </w:tc>
        <w:tc>
          <w:tcPr>
            <w:shd w:val="clear" w:color="auto" w:fill="E6E6E6"/>
            <w:vAlign w:val="center"/>
          </w:tcPr>
          <w:p w14:paraId="5A65EED3">
            <w:pPr>
              <w:jc w:val="center"/>
              <w:rPr>
                <w:sz w:val="21"/>
                <w:szCs w:val="21"/>
              </w:rPr>
            </w:pPr>
            <w:r>
              <w:rPr>
                <w:sz w:val="21"/>
                <w:szCs w:val="21"/>
              </w:rPr>
              <w:t>窗框类型</w:t>
            </w:r>
          </w:p>
        </w:tc>
        <w:tc>
          <w:tcPr>
            <w:shd w:val="clear" w:color="auto" w:fill="E6E6E6"/>
            <w:vAlign w:val="center"/>
          </w:tcPr>
          <w:p w14:paraId="0C3FD305">
            <w:pPr>
              <w:jc w:val="center"/>
              <w:rPr>
                <w:sz w:val="21"/>
                <w:szCs w:val="21"/>
              </w:rPr>
            </w:pPr>
            <w:r>
              <w:rPr>
                <w:sz w:val="21"/>
                <w:szCs w:val="21"/>
              </w:rPr>
              <w:t>玻璃类型</w:t>
            </w:r>
          </w:p>
        </w:tc>
        <w:tc>
          <w:tcPr>
            <w:shd w:val="clear" w:color="auto" w:fill="E6E6E6"/>
            <w:vAlign w:val="center"/>
          </w:tcPr>
          <w:p w14:paraId="6950B242">
            <w:pPr>
              <w:jc w:val="center"/>
              <w:rPr>
                <w:sz w:val="21"/>
                <w:szCs w:val="21"/>
              </w:rPr>
            </w:pPr>
            <w:r>
              <w:rPr>
                <w:sz w:val="21"/>
                <w:szCs w:val="21"/>
              </w:rPr>
              <w:t>可见光透射比</w:t>
            </w:r>
          </w:p>
        </w:tc>
        <w:tc>
          <w:tcPr>
            <w:shd w:val="clear" w:color="auto" w:fill="E6E6E6"/>
            <w:vAlign w:val="center"/>
          </w:tcPr>
          <w:p w14:paraId="7DAC4604">
            <w:pPr>
              <w:jc w:val="center"/>
              <w:rPr>
                <w:sz w:val="21"/>
                <w:szCs w:val="21"/>
              </w:rPr>
            </w:pPr>
            <w:r>
              <w:rPr>
                <w:sz w:val="21"/>
                <w:szCs w:val="21"/>
              </w:rPr>
              <w:t>玻璃反射比</w:t>
            </w:r>
          </w:p>
        </w:tc>
      </w:tr>
      <w:tr w14:paraId="01F6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36C3C">
            <w:pPr>
              <w:jc w:val="center"/>
              <w:rPr>
                <w:sz w:val="21"/>
                <w:szCs w:val="21"/>
              </w:rPr>
            </w:pPr>
          </w:p>
        </w:tc>
        <w:tc>
          <w:tcPr>
            <w:vAlign w:val="center"/>
          </w:tcPr>
          <w:p w14:paraId="355B71E2">
            <w:pPr>
              <w:jc w:val="center"/>
              <w:rPr>
                <w:sz w:val="21"/>
                <w:szCs w:val="21"/>
              </w:rPr>
            </w:pPr>
            <w:r>
              <w:rPr>
                <w:sz w:val="21"/>
                <w:szCs w:val="21"/>
              </w:rPr>
              <w:t>3000</w:t>
            </w:r>
          </w:p>
        </w:tc>
        <w:tc>
          <w:tcPr>
            <w:vAlign w:val="center"/>
          </w:tcPr>
          <w:p w14:paraId="439B1A13">
            <w:pPr>
              <w:jc w:val="center"/>
              <w:rPr>
                <w:sz w:val="21"/>
                <w:szCs w:val="21"/>
              </w:rPr>
            </w:pPr>
            <w:r>
              <w:rPr>
                <w:sz w:val="21"/>
                <w:szCs w:val="21"/>
              </w:rPr>
              <w:t>3600</w:t>
            </w:r>
          </w:p>
        </w:tc>
        <w:tc>
          <w:tcPr>
            <w:vAlign w:val="center"/>
          </w:tcPr>
          <w:p w14:paraId="3D53B3BB">
            <w:pPr>
              <w:jc w:val="center"/>
              <w:rPr>
                <w:sz w:val="21"/>
                <w:szCs w:val="21"/>
              </w:rPr>
            </w:pPr>
            <w:r>
              <w:rPr>
                <w:sz w:val="21"/>
                <w:szCs w:val="21"/>
              </w:rPr>
              <w:t>单层铝窗</w:t>
            </w:r>
          </w:p>
        </w:tc>
        <w:tc>
          <w:tcPr>
            <w:vAlign w:val="center"/>
          </w:tcPr>
          <w:p w14:paraId="70A6FFD4">
            <w:pPr>
              <w:jc w:val="center"/>
              <w:rPr>
                <w:sz w:val="21"/>
                <w:szCs w:val="21"/>
              </w:rPr>
            </w:pPr>
            <w:r>
              <w:rPr>
                <w:sz w:val="21"/>
                <w:szCs w:val="21"/>
              </w:rPr>
              <w:t>普通玻璃</w:t>
            </w:r>
          </w:p>
        </w:tc>
        <w:tc>
          <w:tcPr>
            <w:vAlign w:val="center"/>
          </w:tcPr>
          <w:p w14:paraId="7C8EF0E8">
            <w:pPr>
              <w:jc w:val="center"/>
              <w:rPr>
                <w:sz w:val="21"/>
                <w:szCs w:val="21"/>
              </w:rPr>
            </w:pPr>
            <w:r>
              <w:rPr>
                <w:sz w:val="21"/>
                <w:szCs w:val="21"/>
              </w:rPr>
              <w:t>0.89</w:t>
            </w:r>
          </w:p>
        </w:tc>
        <w:tc>
          <w:tcPr>
            <w:vAlign w:val="center"/>
          </w:tcPr>
          <w:p w14:paraId="37E8A990">
            <w:pPr>
              <w:jc w:val="center"/>
              <w:rPr>
                <w:sz w:val="21"/>
                <w:szCs w:val="21"/>
              </w:rPr>
            </w:pPr>
            <w:r>
              <w:rPr>
                <w:sz w:val="21"/>
                <w:szCs w:val="21"/>
              </w:rPr>
              <w:t>0.08</w:t>
            </w:r>
          </w:p>
        </w:tc>
      </w:tr>
    </w:tbl>
    <w:p w14:paraId="1616E003">
      <w:pPr>
        <w:rPr>
          <w:lang w:val="en-US"/>
        </w:rPr>
      </w:pPr>
      <w:r>
        <w:rPr>
          <w:lang w:val="en-US"/>
        </w:rPr>
        <w:t>注：计算考虑了外窗玻璃的污染折减系数影响，系数取值0.9。</w:t>
      </w:r>
    </w:p>
    <w:p w14:paraId="6B7DBF1E">
      <w:pPr>
        <w:rPr>
          <w:lang w:val="en-US"/>
        </w:rPr>
      </w:pPr>
    </w:p>
    <w:p w14:paraId="414D1308">
      <w:pPr>
        <w:rPr>
          <w:lang w:val="en-US"/>
        </w:rPr>
      </w:pPr>
    </w:p>
    <w:p w14:paraId="44E0007C">
      <w:pPr>
        <w:pStyle w:val="3"/>
        <w:ind w:firstLine="0" w:firstLineChars="0"/>
        <w:rPr>
          <w:rFonts w:ascii="宋体" w:hAnsi="宋体"/>
        </w:rPr>
      </w:pPr>
      <w:bookmarkStart w:id="61" w:name="窗污染折减系数"/>
      <w:bookmarkEnd w:id="61"/>
    </w:p>
    <w:p w14:paraId="607F6212">
      <w:pPr>
        <w:pStyle w:val="2"/>
        <w:ind w:left="432" w:hanging="432"/>
      </w:pPr>
      <w:bookmarkStart w:id="62" w:name="_Toc32077"/>
      <w:r>
        <w:rPr>
          <w:rFonts w:hint="eastAsia"/>
        </w:rPr>
        <w:t>分析结果展示</w:t>
      </w:r>
      <w:bookmarkEnd w:id="62"/>
    </w:p>
    <w:p w14:paraId="11E24241">
      <w:pPr>
        <w:pStyle w:val="33"/>
        <w:rPr>
          <w:lang w:val="en-US"/>
        </w:rPr>
      </w:pPr>
      <w:bookmarkStart w:id="63" w:name="地下达标图"/>
      <w:bookmarkEnd w:id="63"/>
    </w:p>
    <w:p w14:paraId="301478CD">
      <w:pPr>
        <w:pStyle w:val="33"/>
        <w:rPr>
          <w:lang w:val="en-US"/>
        </w:rPr>
      </w:pPr>
      <w:r>
        <w:drawing>
          <wp:inline distT="0" distB="0" distL="0" distR="0">
            <wp:extent cx="5667375" cy="31623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667375" cy="3162300"/>
                    </a:xfrm>
                    <a:prstGeom prst="rect">
                      <a:avLst/>
                    </a:prstGeom>
                  </pic:spPr>
                </pic:pic>
              </a:graphicData>
            </a:graphic>
          </wp:inline>
        </w:drawing>
      </w:r>
    </w:p>
    <w:p w14:paraId="4FFE7B36">
      <w:pPr>
        <w:pStyle w:val="33"/>
        <w:rPr>
          <w:lang w:val="en-US"/>
        </w:rPr>
      </w:pPr>
      <w:r>
        <w:rPr>
          <w:lang w:val="en-US"/>
        </w:rPr>
        <w:t>地下采光达标图</w:t>
      </w:r>
    </w:p>
    <w:p w14:paraId="1639C809">
      <w:pPr>
        <w:pStyle w:val="33"/>
        <w:rPr>
          <w:lang w:val="en-US"/>
        </w:rPr>
      </w:pPr>
    </w:p>
    <w:p w14:paraId="1C6B2B5D">
      <w:pPr>
        <w:pStyle w:val="2"/>
        <w:ind w:left="432" w:hanging="432"/>
      </w:pPr>
      <w:bookmarkStart w:id="64" w:name="_Toc22163"/>
      <w:r>
        <w:rPr>
          <w:rFonts w:hint="eastAsia"/>
        </w:rPr>
        <w:t>评价结论</w:t>
      </w:r>
      <w:bookmarkEnd w:id="64"/>
    </w:p>
    <w:p w14:paraId="566B4EEC">
      <w:pPr>
        <w:ind w:firstLine="420" w:firstLineChars="200"/>
      </w:pPr>
      <w:r>
        <w:t>本项目的地下空间天然采光评价，经应用Dali软件依据《建筑采光设计标准》GB 50033-2013进行采光模拟分析，以及根据</w:t>
      </w:r>
      <w:bookmarkStart w:id="65" w:name="标准名称1"/>
      <w:r>
        <w:t>《绿色建筑评价标准》GB/T 50378-2019</w:t>
      </w:r>
      <w:bookmarkEnd w:id="65"/>
      <w:r>
        <w:t>的5.2.8条款进行评价计算，</w:t>
      </w:r>
      <w:r>
        <w:rPr>
          <w:rFonts w:hint="eastAsia"/>
        </w:rPr>
        <w:t>求得</w:t>
      </w:r>
      <w:r>
        <w:t>地下空间平均采光系数不小于</w:t>
      </w:r>
      <w:bookmarkStart w:id="66" w:name="地下采光要求2"/>
      <w:r>
        <w:t>0.5</w:t>
      </w:r>
      <w:bookmarkEnd w:id="66"/>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ascii="Batang" w:hAnsi="Batang" w:eastAsia="Batang" w:cs="Batang"/>
              </w:rPr>
              <w:t>㎡</w:t>
            </w:r>
            <w:r>
              <w:rPr>
                <w:rFonts w:hint="eastAsia"/>
              </w:rPr>
              <w:t>）</w:t>
            </w:r>
          </w:p>
        </w:tc>
        <w:tc>
          <w:tcPr>
            <w:tcW w:w="3420" w:type="dxa"/>
            <w:shd w:val="clear" w:color="auto" w:fill="E6E6E6"/>
            <w:vAlign w:val="center"/>
          </w:tcPr>
          <w:p w14:paraId="6B6FF200">
            <w:pPr>
              <w:jc w:val="center"/>
            </w:pPr>
            <w:r>
              <w:t>平均采光系数≥</w:t>
            </w:r>
            <w:bookmarkStart w:id="67" w:name="地下采光要求"/>
            <w:r>
              <w:t>0.50</w:t>
            </w:r>
            <w:bookmarkEnd w:id="67"/>
            <w:r>
              <w:t>%的面积（</w:t>
            </w:r>
            <w:r>
              <w:rPr>
                <w:rFonts w:hint="eastAsia" w:ascii="Batang" w:hAnsi="Batang" w:eastAsia="Batang"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68" w:name="地下采光面积"/>
            <w:r>
              <w:rPr>
                <w:rFonts w:hint="eastAsia"/>
              </w:rPr>
              <w:t>5324.92</w:t>
            </w:r>
            <w:bookmarkEnd w:id="68"/>
          </w:p>
        </w:tc>
        <w:tc>
          <w:tcPr>
            <w:tcW w:w="3420" w:type="dxa"/>
            <w:vAlign w:val="center"/>
          </w:tcPr>
          <w:p w14:paraId="049670DA">
            <w:pPr>
              <w:jc w:val="center"/>
            </w:pPr>
            <w:bookmarkStart w:id="69" w:name="地下达标面积"/>
            <w:r>
              <w:rPr>
                <w:rFonts w:hint="eastAsia"/>
              </w:rPr>
              <w:t>4786.91</w:t>
            </w:r>
            <w:bookmarkEnd w:id="69"/>
          </w:p>
        </w:tc>
        <w:tc>
          <w:tcPr>
            <w:tcW w:w="1980" w:type="dxa"/>
            <w:vAlign w:val="center"/>
          </w:tcPr>
          <w:p w14:paraId="1A740994">
            <w:pPr>
              <w:jc w:val="center"/>
            </w:pPr>
            <w:bookmarkStart w:id="70" w:name="地下采光达标率"/>
            <w:r>
              <w:rPr>
                <w:rFonts w:hint="eastAsia"/>
              </w:rPr>
              <w:t>90</w:t>
            </w:r>
            <w:bookmarkEnd w:id="70"/>
          </w:p>
        </w:tc>
        <w:tc>
          <w:tcPr>
            <w:tcW w:w="1260" w:type="dxa"/>
            <w:vAlign w:val="center"/>
          </w:tcPr>
          <w:p w14:paraId="70A036F3">
            <w:pPr>
              <w:jc w:val="center"/>
            </w:pPr>
            <w:bookmarkStart w:id="71" w:name="地下采光得分"/>
            <w:r>
              <w:rPr>
                <w:rFonts w:hint="eastAsia"/>
              </w:rPr>
              <w:t>3</w:t>
            </w:r>
            <w:bookmarkEnd w:id="71"/>
          </w:p>
        </w:tc>
      </w:tr>
    </w:tbl>
    <w:p w14:paraId="099095A5">
      <w:pPr>
        <w:pStyle w:val="13"/>
        <w:spacing w:line="360" w:lineRule="auto"/>
        <w:sectPr>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2" w:name="_Toc9334"/>
      <w:r>
        <w:rPr>
          <w:rFonts w:hint="eastAsia" w:ascii="黑体" w:hAnsi="黑体" w:eastAsia="黑体"/>
          <w:b/>
          <w:sz w:val="24"/>
          <w:szCs w:val="24"/>
          <w:lang w:val="en-US"/>
        </w:rPr>
        <w:t>附件一：项目主要附图</w:t>
      </w:r>
      <w:bookmarkEnd w:id="72"/>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3" w:name="总平面图"/>
      <w:bookmarkEnd w:id="73"/>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4" w:name="首层地下室平面图"/>
      <w:bookmarkEnd w:id="74"/>
      <w:r>
        <w:drawing>
          <wp:inline distT="0" distB="0" distL="0" distR="0">
            <wp:extent cx="5667375" cy="23336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667375" cy="2333625"/>
                    </a:xfrm>
                    <a:prstGeom prst="rect">
                      <a:avLst/>
                    </a:prstGeom>
                  </pic:spPr>
                </pic:pic>
              </a:graphicData>
            </a:graphic>
          </wp:inline>
        </w:drawing>
      </w:r>
    </w:p>
    <w:p w14:paraId="6BE012F4">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pPr>
      <w:pStyle w:val="16"/>
      <w:pBdr>
        <w:bottom w:val="single" w:color="auto" w:sz="6" w:space="2"/>
      </w:pBdr>
    </w:pPr>
    <w:r>
      <w:rPr>
        <w:lang w:val="en-US"/>
      </w:rPr>
      <w:drawing>
        <wp:inline distT="0" distB="0" distL="114300" distR="114300">
          <wp:extent cx="977900" cy="254635"/>
          <wp:effectExtent l="0" t="0" r="0"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265C7"/>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2FA2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OLIA~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8</Pages>
  <Words>2645</Words>
  <Characters>3300</Characters>
  <Lines>30</Lines>
  <Paragraphs>8</Paragraphs>
  <TotalTime>0</TotalTime>
  <ScaleCrop>false</ScaleCrop>
  <LinksUpToDate>false</LinksUpToDate>
  <CharactersWithSpaces>4815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2024-12-16T17:31:00Z</dcterms:created>
  <dc:creator>星卅.</dc:creator>
  <cp:lastModifiedBy>星卅.</cp:lastModifiedBy>
  <dcterms:modified xsi:type="dcterms:W3CDTF">2024-12-16T17:32:02Z</dcterms:modified>
  <dc:title>地下室采光分析报告书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CF0F6470B65A4267862C2A0551FD371E_11</vt:lpwstr>
  </property>
  <property fmtid="{D5CDD505-2E9C-101B-9397-08002B2CF9AE}" pid="3" name="KSOProductBuildVer">
    <vt:lpwstr>2052-12.1.0.19302</vt:lpwstr>
  </property>
</Properties>
</file>