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rPr>
          <w:rFonts w:ascii="黑体" w:hAnsi="宋体" w:eastAsia="黑体"/>
          <w:b/>
          <w:bCs/>
          <w:sz w:val="72"/>
          <w:szCs w:val="72"/>
        </w:rPr>
      </w:pPr>
      <w:bookmarkStart w:id="99" w:name="_GoBack"/>
      <w:bookmarkEnd w:id="99"/>
    </w:p>
    <w:p>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pPr>
              <w:pStyle w:val="3"/>
            </w:pPr>
            <w:r>
              <w:rPr>
                <w:rFonts w:hint="eastAsia"/>
              </w:rPr>
              <w:t>工程名称</w:t>
            </w:r>
          </w:p>
        </w:tc>
        <w:tc>
          <w:tcPr>
            <w:tcW w:w="3780" w:type="dxa"/>
            <w:vAlign w:val="center"/>
          </w:tcPr>
          <w:p>
            <w:pPr>
              <w:pStyle w:val="3"/>
              <w:jc w:val="center"/>
            </w:pPr>
            <w:bookmarkStart w:id="0" w:name="工程名称"/>
            <w:r>
              <w:t>衢州市常山县芳村未来社区</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bookmarkStart w:id="6" w:name="计算日期"/>
            <w:r>
              <w:t>2024年12月23日</w:t>
            </w:r>
            <w:bookmarkEnd w:id="6"/>
          </w:p>
        </w:tc>
      </w:tr>
    </w:tbl>
    <w:p>
      <w:pPr>
        <w:rPr>
          <w:rFonts w:ascii="黑体" w:hAnsi="黑体" w:eastAsia="黑体"/>
          <w:b/>
          <w:bCs/>
          <w:sz w:val="28"/>
          <w:szCs w:val="28"/>
        </w:rPr>
      </w:pPr>
    </w:p>
    <w:p>
      <w:pPr>
        <w:pStyle w:val="3"/>
        <w:jc w:val="center"/>
      </w:pPr>
      <w:bookmarkStart w:id="7" w:name="二维码"/>
      <w:bookmarkEnd w:id="7"/>
      <w:r>
        <w:drawing>
          <wp:inline distT="0" distB="0" distL="0" distR="0">
            <wp:extent cx="2324100" cy="23241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pPr>
        <w:pStyle w:val="3"/>
        <w:jc w:val="center"/>
      </w:pPr>
    </w:p>
    <w:p>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bookmarkStart w:id="8" w:name="采用软件"/>
            <w:r>
              <w:t>采光分析DALI2024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bookmarkStart w:id="9" w:name="软件版本"/>
            <w:r>
              <w:rPr>
                <w:szCs w:val="18"/>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bookmarkStart w:id="10" w:name="正版授权码"/>
            <w:r>
              <w:t>T18858703357</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r>
              <w:rPr>
                <w:rFonts w:hint="eastAsia"/>
                <w:color w:val="000000"/>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jc w:val="center"/>
        <w:rPr>
          <w:sz w:val="28"/>
          <w:szCs w:val="28"/>
        </w:rPr>
      </w:pPr>
      <w:bookmarkStart w:id="11"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_Toc22075 </w:instrText>
      </w:r>
      <w:r>
        <w:rPr>
          <w:szCs w:val="28"/>
        </w:rPr>
        <w:fldChar w:fldCharType="separate"/>
      </w:r>
      <w:r>
        <w:rPr>
          <w:rFonts w:hint="eastAsia"/>
        </w:rPr>
        <w:t>1. 建筑概况</w:t>
      </w:r>
      <w:r>
        <w:tab/>
      </w:r>
      <w:r>
        <w:fldChar w:fldCharType="begin"/>
      </w:r>
      <w:r>
        <w:instrText xml:space="preserve"> PAGEREF _Toc22075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_Toc9412 </w:instrText>
      </w:r>
      <w:r>
        <w:rPr>
          <w:szCs w:val="28"/>
        </w:rPr>
        <w:fldChar w:fldCharType="separate"/>
      </w:r>
      <w:r>
        <w:rPr>
          <w:rFonts w:hint="eastAsia"/>
        </w:rPr>
        <w:t>2. 计算</w:t>
      </w:r>
      <w:r>
        <w:t>目的</w:t>
      </w:r>
      <w:r>
        <w:tab/>
      </w:r>
      <w:r>
        <w:fldChar w:fldCharType="begin"/>
      </w:r>
      <w:r>
        <w:instrText xml:space="preserve"> PAGEREF _Toc9412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_Toc23322 </w:instrText>
      </w:r>
      <w:r>
        <w:rPr>
          <w:szCs w:val="28"/>
        </w:rPr>
        <w:fldChar w:fldCharType="separate"/>
      </w:r>
      <w:r>
        <w:rPr>
          <w:rFonts w:hint="eastAsia"/>
        </w:rPr>
        <w:t>3. 分析依据</w:t>
      </w:r>
      <w:r>
        <w:tab/>
      </w:r>
      <w:r>
        <w:fldChar w:fldCharType="begin"/>
      </w:r>
      <w:r>
        <w:instrText xml:space="preserve"> PAGEREF _Toc23322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_Toc14712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_Toc14712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_Toc9389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_Toc9389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_Toc28878 </w:instrText>
      </w:r>
      <w:r>
        <w:rPr>
          <w:szCs w:val="28"/>
        </w:rPr>
        <w:fldChar w:fldCharType="separate"/>
      </w:r>
      <w:r>
        <w:rPr>
          <w:rFonts w:hint="eastAsia"/>
        </w:rPr>
        <w:t>4. 动态采光</w:t>
      </w:r>
      <w:r>
        <w:t>概述</w:t>
      </w:r>
      <w:r>
        <w:tab/>
      </w:r>
      <w:r>
        <w:fldChar w:fldCharType="begin"/>
      </w:r>
      <w:r>
        <w:instrText xml:space="preserve"> PAGEREF _Toc28878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_Toc16670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_Toc16670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_Toc22594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_Toc22594 \h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_Toc18442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_Toc18442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_Toc12492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_Toc12492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_Toc1834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_Toc1834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_Toc26453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_Toc26453 \h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_Toc7539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_Toc7539 \h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_Toc13802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_Toc13802 \h </w:instrText>
      </w:r>
      <w:r>
        <w:fldChar w:fldCharType="separate"/>
      </w:r>
      <w:r>
        <w:t>7</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_Toc16387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_Toc16387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_Toc23402 </w:instrText>
      </w:r>
      <w:r>
        <w:rPr>
          <w:szCs w:val="28"/>
        </w:rPr>
        <w:fldChar w:fldCharType="separate"/>
      </w:r>
      <w:r>
        <w:rPr>
          <w:rFonts w:hint="eastAsia"/>
        </w:rPr>
        <w:t>6. 动态采光达标统计</w:t>
      </w:r>
      <w:r>
        <w:tab/>
      </w:r>
      <w:r>
        <w:fldChar w:fldCharType="begin"/>
      </w:r>
      <w:r>
        <w:instrText xml:space="preserve"> PAGEREF _Toc23402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_Toc32656 </w:instrText>
      </w:r>
      <w:r>
        <w:rPr>
          <w:szCs w:val="28"/>
        </w:rPr>
        <w:fldChar w:fldCharType="separate"/>
      </w:r>
      <w:r>
        <w:rPr>
          <w:rFonts w:hint="eastAsia"/>
        </w:rPr>
        <w:t>7. 动态采光统计图</w:t>
      </w:r>
      <w:r>
        <w:tab/>
      </w:r>
      <w:r>
        <w:fldChar w:fldCharType="begin"/>
      </w:r>
      <w:r>
        <w:instrText xml:space="preserve"> PAGEREF _Toc32656 \h </w:instrText>
      </w:r>
      <w:r>
        <w:fldChar w:fldCharType="separate"/>
      </w:r>
      <w:r>
        <w:t>8</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_Toc1473 </w:instrText>
      </w:r>
      <w:r>
        <w:rPr>
          <w:szCs w:val="28"/>
        </w:rPr>
        <w:fldChar w:fldCharType="separate"/>
      </w:r>
      <w:r>
        <w:rPr>
          <w:rFonts w:hint="eastAsia"/>
        </w:rPr>
        <w:t xml:space="preserve">8. </w:t>
      </w:r>
      <w:r>
        <w:t>动态采光彩图</w:t>
      </w:r>
      <w:r>
        <w:tab/>
      </w:r>
      <w:r>
        <w:fldChar w:fldCharType="begin"/>
      </w:r>
      <w:r>
        <w:instrText xml:space="preserve"> PAGEREF _Toc1473 \h </w:instrText>
      </w:r>
      <w:r>
        <w:fldChar w:fldCharType="separate"/>
      </w:r>
      <w:r>
        <w:t>10</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_Toc23093 </w:instrText>
      </w:r>
      <w:r>
        <w:rPr>
          <w:szCs w:val="28"/>
        </w:rPr>
        <w:fldChar w:fldCharType="separate"/>
      </w:r>
      <w:r>
        <w:rPr>
          <w:rFonts w:hint="eastAsia"/>
        </w:rPr>
        <w:t>9. 评价结论</w:t>
      </w:r>
      <w:r>
        <w:tab/>
      </w:r>
      <w:r>
        <w:fldChar w:fldCharType="begin"/>
      </w:r>
      <w:r>
        <w:instrText xml:space="preserve"> PAGEREF _Toc23093 \h </w:instrText>
      </w:r>
      <w:r>
        <w:fldChar w:fldCharType="separate"/>
      </w:r>
      <w:r>
        <w:t>11</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pPr>
        <w:pStyle w:val="2"/>
        <w:ind w:left="432" w:hanging="432"/>
      </w:pPr>
      <w:r>
        <w:rPr>
          <w:szCs w:val="21"/>
        </w:rPr>
        <w:tab/>
      </w:r>
      <w:bookmarkStart w:id="12" w:name="_Toc512608176"/>
      <w:bookmarkStart w:id="13" w:name="_Toc22075"/>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lang w:val="en-US"/>
              </w:rPr>
              <w:t>项目所在地</w:t>
            </w:r>
          </w:p>
        </w:tc>
        <w:tc>
          <w:tcPr>
            <w:tcW w:w="6447" w:type="dxa"/>
            <w:gridSpan w:val="3"/>
          </w:tcPr>
          <w:p>
            <w:pPr>
              <w:pStyle w:val="3"/>
              <w:rPr>
                <w:lang w:val="en-US"/>
              </w:rPr>
            </w:pPr>
            <w:bookmarkStart w:id="14" w:name="项目地点"/>
            <w:r>
              <w:t>衢州</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5" w:name="光气候分区"/>
            <w:r>
              <w:t>III</w:t>
            </w:r>
            <w:bookmarkEnd w:id="15"/>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7" w:name="地上建筑面积"/>
            <w:r>
              <w:t>3637.33</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9" w:name="地上建筑层数"/>
            <w:r>
              <w:t>2</w:t>
            </w:r>
            <w:bookmarkEnd w:id="19"/>
            <w:r>
              <w:rPr>
                <w:rFonts w:hint="eastAsia"/>
                <w:lang w:val="en-US"/>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21" w:name="地上建筑高度"/>
            <w:r>
              <w:t>10.00</w:t>
            </w:r>
            <w:bookmarkEnd w:id="21"/>
            <w:r>
              <w:rPr>
                <w:rFonts w:hint="eastAsia"/>
                <w:lang w:val="en-US"/>
              </w:rPr>
              <w:t xml:space="preserve"> m     地下  </w:t>
            </w:r>
            <w:bookmarkStart w:id="22" w:name="地下建筑高度"/>
            <w:r>
              <w:t>0.00</w:t>
            </w:r>
            <w:bookmarkEnd w:id="22"/>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23" w:name="备注"/>
            <w:bookmarkEnd w:id="23"/>
          </w:p>
        </w:tc>
      </w:tr>
    </w:tbl>
    <w:p>
      <w:pPr>
        <w:pStyle w:val="3"/>
        <w:jc w:val="center"/>
        <w:rPr>
          <w:lang w:val="en-US"/>
        </w:rPr>
      </w:pPr>
    </w:p>
    <w:p>
      <w:pPr>
        <w:pStyle w:val="2"/>
        <w:ind w:left="432" w:hanging="432"/>
      </w:pPr>
      <w:bookmarkStart w:id="24" w:name="_Toc512608178"/>
      <w:bookmarkStart w:id="25" w:name="_Toc9412"/>
      <w:r>
        <w:rPr>
          <w:rFonts w:hint="eastAsia"/>
        </w:rPr>
        <w:t>计算</w:t>
      </w:r>
      <w:r>
        <w:t>目的</w:t>
      </w:r>
      <w:bookmarkEnd w:id="24"/>
      <w:bookmarkEnd w:id="25"/>
    </w:p>
    <w:p>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6" w:name="_Toc512608177"/>
      <w:bookmarkStart w:id="27" w:name="_Toc23322"/>
      <w:r>
        <w:rPr>
          <w:rFonts w:hint="eastAsia"/>
        </w:rPr>
        <w:t>分析依据</w:t>
      </w:r>
      <w:bookmarkEnd w:id="26"/>
      <w:bookmarkEnd w:id="27"/>
    </w:p>
    <w:p>
      <w:pPr>
        <w:pStyle w:val="4"/>
      </w:pPr>
      <w:bookmarkStart w:id="28" w:name="_Toc14712"/>
      <w:r>
        <w:rPr>
          <w:rFonts w:hint="eastAsia"/>
        </w:rPr>
        <w:t>标准依据</w:t>
      </w:r>
      <w:bookmarkEnd w:id="28"/>
    </w:p>
    <w:p>
      <w:pPr>
        <w:pStyle w:val="3"/>
        <w:numPr>
          <w:ilvl w:val="0"/>
          <w:numId w:val="2"/>
        </w:numPr>
        <w:rPr>
          <w:lang w:val="en-US"/>
        </w:rPr>
      </w:pPr>
      <w:bookmarkStart w:id="29" w:name="标准名称"/>
      <w:bookmarkStart w:id="30" w:name="_Toc512608179"/>
      <w:r>
        <w:rPr>
          <w:lang w:val="en-US"/>
        </w:rPr>
        <w:t>《绿色建筑评价标准》GB/T 50378-2019</w:t>
      </w:r>
      <w:bookmarkEnd w:id="29"/>
    </w:p>
    <w:p>
      <w:pPr>
        <w:pStyle w:val="3"/>
        <w:numPr>
          <w:ilvl w:val="0"/>
          <w:numId w:val="2"/>
        </w:numPr>
        <w:rPr>
          <w:lang w:val="en-US"/>
        </w:rPr>
      </w:pPr>
      <w:r>
        <w:rPr>
          <w:lang w:val="en-US"/>
        </w:rPr>
        <w:t>《建筑采光设计标准》GB 50033-2013</w:t>
      </w:r>
    </w:p>
    <w:p>
      <w:pPr>
        <w:pStyle w:val="3"/>
        <w:numPr>
          <w:ilvl w:val="0"/>
          <w:numId w:val="2"/>
        </w:numPr>
        <w:rPr>
          <w:sz w:val="24"/>
          <w:lang w:val="en-US"/>
        </w:rPr>
      </w:pPr>
      <w:r>
        <w:rPr>
          <w:rFonts w:hint="eastAsia"/>
          <w:sz w:val="24"/>
          <w:lang w:val="en-US"/>
        </w:rPr>
        <w:t>《</w:t>
      </w:r>
      <w:r>
        <w:rPr>
          <w:rFonts w:hint="eastAsia"/>
          <w:lang w:val="en-US"/>
        </w:rPr>
        <w:t>绿色建筑评价标准技术细则2019》</w:t>
      </w:r>
    </w:p>
    <w:p>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lang w:val="en-US"/>
        </w:rPr>
      </w:pPr>
      <w:r>
        <w:rPr>
          <w:lang w:val="en-US"/>
        </w:rPr>
        <w:t>《采光测量方法》GB/T 5699-2017</w:t>
      </w:r>
    </w:p>
    <w:p>
      <w:pPr>
        <w:pStyle w:val="4"/>
      </w:pPr>
      <w:bookmarkStart w:id="31" w:name="_Toc9389"/>
      <w:r>
        <w:rPr>
          <w:rFonts w:hint="eastAsia"/>
        </w:rPr>
        <w:t>标准要求</w:t>
      </w:r>
      <w:bookmarkEnd w:id="30"/>
      <w:bookmarkEnd w:id="31"/>
    </w:p>
    <w:p>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pPr>
        <w:pStyle w:val="3"/>
        <w:ind w:left="420" w:leftChars="200"/>
      </w:pPr>
    </w:p>
    <w:p>
      <w:pPr>
        <w:pStyle w:val="3"/>
        <w:ind w:left="420" w:leftChars="200"/>
        <w:rPr>
          <w:bCs/>
          <w:color w:val="000000" w:themeColor="text1"/>
          <w:lang w:val="en-US"/>
          <w14:textFill>
            <w14:solidFill>
              <w14:schemeClr w14:val="tx1"/>
            </w14:solidFill>
          </w14:textFill>
        </w:rPr>
      </w:pPr>
    </w:p>
    <w:p>
      <w:pPr>
        <w:pStyle w:val="3"/>
        <w:ind w:left="420" w:leftChars="200"/>
        <w:rPr>
          <w:bCs/>
        </w:rPr>
      </w:pPr>
    </w:p>
    <w:p>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展览建筑</w:t>
      </w:r>
      <w:bookmarkEnd w:id="35"/>
      <w:r>
        <w:rPr>
          <w:rFonts w:hint="eastAsia"/>
        </w:rPr>
        <w:t>，</w:t>
      </w:r>
      <w:r>
        <w:t>根据</w:t>
      </w:r>
      <w:r>
        <w:rPr>
          <w:rFonts w:hint="eastAsia"/>
        </w:rPr>
        <w:t>标准要求的采光照度值根据对应</w:t>
      </w:r>
      <w:r>
        <w:t>房间类型</w:t>
      </w:r>
      <w:r>
        <w:rPr>
          <w:rFonts w:hint="eastAsia"/>
        </w:rPr>
        <w:t>确定。</w:t>
      </w:r>
    </w:p>
    <w:p>
      <w:pPr>
        <w:ind w:firstLine="199" w:firstLineChars="95"/>
        <w:jc w:val="left"/>
        <w:rPr>
          <w:rFonts w:ascii="微软雅黑" w:hAnsi="微软雅黑" w:eastAsia="微软雅黑"/>
        </w:rPr>
      </w:pPr>
      <w:bookmarkStart w:id="36"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pPr>
        <w:pStyle w:val="18"/>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pPr>
              <w:widowControl w:val="0"/>
              <w:jc w:val="center"/>
              <w:rPr>
                <w:szCs w:val="18"/>
              </w:rPr>
            </w:pPr>
            <w:r>
              <w:rPr>
                <w:rFonts w:hint="eastAsia"/>
                <w:szCs w:val="18"/>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采光系数</w:t>
            </w:r>
          </w:p>
          <w:p>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jc w:val="center"/>
              <w:rPr>
                <w:szCs w:val="18"/>
              </w:rPr>
            </w:pPr>
            <w:r>
              <w:rPr>
                <w:rFonts w:hint="eastAsia"/>
                <w:szCs w:val="18"/>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jc w:val="center"/>
              <w:rPr>
                <w:szCs w:val="18"/>
              </w:rPr>
            </w:pPr>
            <w:r>
              <w:rPr>
                <w:rFonts w:hint="eastAsia"/>
                <w:szCs w:val="18"/>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pPr>
              <w:widowControl w:val="0"/>
              <w:jc w:val="center"/>
              <w:rPr>
                <w:szCs w:val="18"/>
              </w:rPr>
            </w:pPr>
            <w:r>
              <w:rPr>
                <w:rFonts w:hint="eastAsia"/>
                <w:szCs w:val="18"/>
              </w:rPr>
              <w:t>75</w:t>
            </w:r>
          </w:p>
        </w:tc>
      </w:tr>
      <w:bookmarkEnd w:id="36"/>
    </w:tbl>
    <w:p>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pPr>
        <w:jc w:val="both"/>
        <w:rPr>
          <w:sz w:val="24"/>
        </w:rPr>
      </w:pPr>
    </w:p>
    <w:p>
      <w:pPr>
        <w:pStyle w:val="3"/>
        <w:spacing w:line="360" w:lineRule="auto"/>
        <w:ind w:firstLine="420"/>
        <w:rPr>
          <w:b/>
          <w:lang w:val="en-US"/>
        </w:rPr>
      </w:pPr>
      <w:r>
        <w:rPr>
          <w:rFonts w:hint="eastAsia"/>
          <w:lang w:val="en-US"/>
        </w:rPr>
        <w:t>■</w:t>
      </w:r>
      <w:r>
        <w:rPr>
          <w:rFonts w:hint="eastAsia"/>
          <w:b/>
          <w:lang w:val="en-US"/>
        </w:rPr>
        <w:t>《绿色建筑评价标准技术细则2019》</w:t>
      </w:r>
    </w:p>
    <w:p>
      <w:pPr>
        <w:pStyle w:val="3"/>
        <w:spacing w:line="360" w:lineRule="auto"/>
        <w:ind w:firstLine="420"/>
        <w:rPr>
          <w:sz w:val="32"/>
          <w:lang w:val="en-US"/>
        </w:rPr>
      </w:pPr>
      <w:r>
        <w:rPr>
          <w:rFonts w:hint="eastAsia"/>
        </w:rPr>
        <w:t>公共建筑动态采光要求：</w:t>
      </w:r>
    </w:p>
    <w:p>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pPr>
        <w:pStyle w:val="3"/>
        <w:ind w:left="420" w:leftChars="200"/>
      </w:pPr>
    </w:p>
    <w:p>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pPr>
        <w:pStyle w:val="3"/>
      </w:pPr>
    </w:p>
    <w:p>
      <w:pPr>
        <w:pStyle w:val="2"/>
        <w:ind w:left="432" w:hanging="432"/>
      </w:pPr>
      <w:bookmarkStart w:id="37" w:name="_Toc28878"/>
      <w:r>
        <w:rPr>
          <w:rFonts w:hint="eastAsia"/>
        </w:rPr>
        <w:t>动态采光</w:t>
      </w:r>
      <w:r>
        <w:t>概述</w:t>
      </w:r>
      <w:bookmarkEnd w:id="37"/>
    </w:p>
    <w:p>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8" w:name="_Toc290149059"/>
      <w:bookmarkStart w:id="39" w:name="_Toc290209317"/>
      <w:bookmarkStart w:id="40" w:name="_Toc264043630"/>
      <w:bookmarkStart w:id="41" w:name="_Toc264569237"/>
      <w:bookmarkStart w:id="42" w:name="_Toc275165387"/>
      <w:bookmarkStart w:id="43" w:name="_Toc312399796"/>
      <w:bookmarkStart w:id="44" w:name="_Toc290209341"/>
    </w:p>
    <w:p>
      <w:pPr>
        <w:pStyle w:val="3"/>
      </w:pPr>
      <w:r>
        <w:t xml:space="preserve"> </w:t>
      </w:r>
    </w:p>
    <w:bookmarkEnd w:id="38"/>
    <w:bookmarkEnd w:id="39"/>
    <w:bookmarkEnd w:id="40"/>
    <w:bookmarkEnd w:id="41"/>
    <w:bookmarkEnd w:id="42"/>
    <w:bookmarkEnd w:id="43"/>
    <w:bookmarkEnd w:id="44"/>
    <w:p>
      <w:pPr>
        <w:pStyle w:val="4"/>
        <w:tabs>
          <w:tab w:val="left" w:pos="862"/>
          <w:tab w:val="clear" w:pos="578"/>
        </w:tabs>
        <w:ind w:left="862"/>
      </w:pPr>
      <w:bookmarkStart w:id="45" w:name="_Toc16670"/>
      <w:r>
        <w:rPr>
          <w:rFonts w:hint="eastAsia"/>
        </w:rPr>
        <w:t>计算方法</w:t>
      </w:r>
      <w:bookmarkEnd w:id="45"/>
    </w:p>
    <w:p>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tabs>
          <w:tab w:val="left" w:pos="862"/>
          <w:tab w:val="clear" w:pos="578"/>
        </w:tabs>
        <w:ind w:left="862"/>
      </w:pPr>
      <w:bookmarkStart w:id="46" w:name="_Toc22594"/>
      <w:r>
        <w:t>软件</w:t>
      </w:r>
      <w:r>
        <w:rPr>
          <w:rFonts w:hint="eastAsia"/>
        </w:rPr>
        <w:t>选用</w:t>
      </w:r>
      <w:bookmarkEnd w:id="46"/>
    </w:p>
    <w:p>
      <w:pPr>
        <w:pStyle w:val="3"/>
        <w:ind w:firstLine="420" w:firstLineChars="200"/>
      </w:pPr>
      <w:bookmarkStart w:id="47" w:name="标准名称2"/>
      <w:r>
        <w:t>《绿色建筑评价标准》GB/T 50378-2019</w:t>
      </w:r>
      <w:bookmarkEnd w:id="47"/>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pPr>
        <w:pStyle w:val="3"/>
        <w:ind w:firstLine="420" w:firstLineChars="200"/>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49" w:name="_Toc512608187"/>
      <w:bookmarkStart w:id="50" w:name="_Toc18442"/>
      <w:r>
        <w:rPr>
          <w:rFonts w:hint="eastAsia"/>
        </w:rPr>
        <w:t>采光计算</w:t>
      </w:r>
      <w:r>
        <w:t>参数</w:t>
      </w:r>
      <w:r>
        <w:rPr>
          <w:rFonts w:hint="eastAsia"/>
        </w:rPr>
        <w:t>取值</w:t>
      </w:r>
      <w:bookmarkEnd w:id="49"/>
      <w:bookmarkEnd w:id="50"/>
    </w:p>
    <w:p>
      <w:pPr>
        <w:pStyle w:val="4"/>
      </w:pPr>
      <w:bookmarkStart w:id="51" w:name="_Toc275165386"/>
      <w:bookmarkStart w:id="52" w:name="_Toc290149058"/>
      <w:bookmarkStart w:id="53" w:name="_Toc264569236"/>
      <w:bookmarkStart w:id="54" w:name="_Toc312399795"/>
      <w:bookmarkStart w:id="55" w:name="_Toc290209340"/>
      <w:bookmarkStart w:id="56" w:name="_Toc290209316"/>
      <w:bookmarkStart w:id="57" w:name="_Toc264043629"/>
      <w:bookmarkStart w:id="58" w:name="_Toc512608188"/>
      <w:bookmarkStart w:id="59" w:name="_Toc12492"/>
      <w:r>
        <w:t>模拟</w:t>
      </w:r>
      <w:bookmarkEnd w:id="51"/>
      <w:bookmarkEnd w:id="52"/>
      <w:bookmarkEnd w:id="53"/>
      <w:bookmarkEnd w:id="54"/>
      <w:bookmarkEnd w:id="55"/>
      <w:bookmarkEnd w:id="56"/>
      <w:bookmarkEnd w:id="57"/>
      <w:r>
        <w:rPr>
          <w:rFonts w:hint="eastAsia"/>
        </w:rPr>
        <w:t>分析条件说明</w:t>
      </w:r>
      <w:bookmarkEnd w:id="58"/>
      <w:bookmarkEnd w:id="59"/>
    </w:p>
    <w:p>
      <w:pPr>
        <w:pStyle w:val="3"/>
        <w:ind w:left="420" w:leftChars="200"/>
        <w:rPr>
          <w:rFonts w:ascii="宋体" w:hAnsi="宋体"/>
          <w:b/>
          <w:lang w:val="en-US"/>
        </w:rPr>
      </w:pPr>
      <w:r>
        <w:rPr>
          <w:rFonts w:hint="eastAsia" w:ascii="宋体" w:hAnsi="宋体"/>
          <w:b/>
          <w:lang w:val="en-US"/>
        </w:rPr>
        <w:t>光气候数据来源：</w:t>
      </w:r>
      <w:bookmarkStart w:id="60" w:name="气象数据"/>
      <w:r>
        <w:rPr>
          <w:rFonts w:hint="eastAsia"/>
          <w:lang w:val="en-US"/>
        </w:rPr>
        <w:t>《建筑节能气象参数标准》JGJ346-2014</w:t>
      </w:r>
      <w:bookmarkEnd w:id="60"/>
    </w:p>
    <w:p>
      <w:pPr>
        <w:pStyle w:val="3"/>
        <w:ind w:left="420" w:leftChars="200"/>
      </w:pPr>
      <w:r>
        <w:rPr>
          <w:rFonts w:hint="eastAsia"/>
          <w:b/>
        </w:rPr>
        <w:t>计算</w:t>
      </w:r>
      <w:r>
        <w:rPr>
          <w:b/>
        </w:rPr>
        <w:t>光线反射次数</w:t>
      </w:r>
      <w:r>
        <w:t>：</w:t>
      </w:r>
      <w:bookmarkStart w:id="61" w:name="光线反射次数"/>
      <w:r>
        <w:rPr>
          <w:rFonts w:hint="eastAsia"/>
        </w:rPr>
        <w:t>3</w:t>
      </w:r>
      <w:bookmarkEnd w:id="61"/>
      <w:r>
        <w:rPr>
          <w:rFonts w:hint="eastAsia"/>
        </w:rPr>
        <w:t>次；</w:t>
      </w:r>
    </w:p>
    <w:p>
      <w:pPr>
        <w:pStyle w:val="3"/>
        <w:ind w:left="420" w:leftChars="200"/>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pPr>
        <w:pStyle w:val="3"/>
        <w:ind w:left="420" w:leftChars="200"/>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pPr>
              <w:jc w:val="center"/>
            </w:pPr>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pPr>
            <w:r>
              <w:rPr>
                <w:rFonts w:hint="eastAsia"/>
              </w:rPr>
              <w:t>≤</w:t>
            </w:r>
            <w:bookmarkStart w:id="64" w:name="网格划分小房间面积"/>
            <w:r>
              <w:rPr>
                <w:rFonts w:hint="eastAsia"/>
              </w:rPr>
              <w:t>10</w:t>
            </w:r>
            <w:bookmarkEnd w:id="64"/>
          </w:p>
        </w:tc>
        <w:tc>
          <w:tcPr>
            <w:tcW w:w="3272" w:type="dxa"/>
            <w:shd w:val="clear" w:color="auto" w:fill="auto"/>
            <w:vAlign w:val="center"/>
          </w:tcPr>
          <w:p>
            <w:pPr>
              <w:jc w:val="center"/>
            </w:pPr>
            <w:bookmarkStart w:id="65" w:name="小房间网格大小"/>
            <w:r>
              <w:rPr>
                <w:rFonts w:hint="eastAsia"/>
              </w:rPr>
              <w:t>0.25</w:t>
            </w:r>
            <w:bookmarkEnd w:id="6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pPr>
            <w:bookmarkStart w:id="66" w:name="网格划分房间面积"/>
            <w:r>
              <w:rPr>
                <w:rFonts w:hint="eastAsia"/>
              </w:rPr>
              <w:t>10~100</w:t>
            </w:r>
            <w:bookmarkEnd w:id="66"/>
          </w:p>
        </w:tc>
        <w:tc>
          <w:tcPr>
            <w:tcW w:w="3272" w:type="dxa"/>
            <w:shd w:val="clear" w:color="auto" w:fill="auto"/>
            <w:vAlign w:val="center"/>
          </w:tcPr>
          <w:p>
            <w:pPr>
              <w:jc w:val="center"/>
            </w:pPr>
            <w:bookmarkStart w:id="67" w:name="网格大小"/>
            <w:r>
              <w:rPr>
                <w:rFonts w:hint="eastAsia"/>
              </w:rPr>
              <w:t>0.50</w:t>
            </w:r>
            <w:bookmarkEnd w:id="6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pPr>
            <w:r>
              <w:rPr>
                <w:rFonts w:hint="eastAsia"/>
              </w:rPr>
              <w:t>≥</w:t>
            </w:r>
            <w:bookmarkStart w:id="68" w:name="网格划分大房间面积"/>
            <w:r>
              <w:rPr>
                <w:rFonts w:hint="eastAsia"/>
              </w:rPr>
              <w:t>100</w:t>
            </w:r>
            <w:bookmarkEnd w:id="68"/>
          </w:p>
        </w:tc>
        <w:tc>
          <w:tcPr>
            <w:tcW w:w="3272" w:type="dxa"/>
            <w:shd w:val="clear" w:color="auto" w:fill="auto"/>
            <w:vAlign w:val="center"/>
          </w:tcPr>
          <w:p>
            <w:pPr>
              <w:jc w:val="center"/>
            </w:pPr>
            <w:bookmarkStart w:id="69" w:name="大房间网格大小"/>
            <w:r>
              <w:rPr>
                <w:rFonts w:hint="eastAsia"/>
              </w:rPr>
              <w:t>1.00</w:t>
            </w:r>
            <w:bookmarkEnd w:id="69"/>
          </w:p>
        </w:tc>
      </w:tr>
    </w:tbl>
    <w:p>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pPr>
        <w:pStyle w:val="4"/>
      </w:pPr>
      <w:bookmarkStart w:id="70" w:name="_Toc1834"/>
      <w:r>
        <w:rPr>
          <w:rFonts w:hint="eastAsia"/>
        </w:rPr>
        <w:t>建筑饰面材料参数</w:t>
      </w:r>
      <w:bookmarkEnd w:id="63"/>
      <w:bookmarkEnd w:id="70"/>
    </w:p>
    <w:p>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pPr>
              <w:jc w:val="center"/>
            </w:pPr>
            <w:r>
              <w:rPr>
                <w:rFonts w:hint="eastAsia"/>
              </w:rPr>
              <w:t>顶棚</w:t>
            </w:r>
          </w:p>
        </w:tc>
        <w:tc>
          <w:tcPr>
            <w:tcW w:w="1661" w:type="dxa"/>
            <w:tcBorders>
              <w:top w:val="single" w:color="auto" w:sz="12" w:space="0"/>
              <w:bottom w:val="single" w:color="auto" w:sz="4" w:space="0"/>
            </w:tcBorders>
            <w:shd w:val="clear" w:color="auto" w:fill="E6E6E6"/>
          </w:tcPr>
          <w:p>
            <w:pPr>
              <w:jc w:val="center"/>
            </w:pPr>
            <w:r>
              <w:rPr>
                <w:rFonts w:hint="eastAsia"/>
              </w:rPr>
              <w:t>地面</w:t>
            </w:r>
          </w:p>
        </w:tc>
        <w:tc>
          <w:tcPr>
            <w:tcW w:w="1661" w:type="dxa"/>
            <w:tcBorders>
              <w:top w:val="single" w:color="auto" w:sz="12" w:space="0"/>
              <w:bottom w:val="single" w:color="auto" w:sz="4" w:space="0"/>
            </w:tcBorders>
            <w:shd w:val="clear" w:color="auto" w:fill="E6E6E6"/>
          </w:tcPr>
          <w:p>
            <w:pPr>
              <w:jc w:val="center"/>
            </w:pPr>
            <w:r>
              <w:rPr>
                <w:rFonts w:hint="eastAsia"/>
              </w:rPr>
              <w:t>墙面</w:t>
            </w:r>
          </w:p>
        </w:tc>
        <w:tc>
          <w:tcPr>
            <w:tcW w:w="1662" w:type="dxa"/>
            <w:tcBorders>
              <w:top w:val="single" w:color="auto" w:sz="12" w:space="0"/>
              <w:bottom w:val="single" w:color="auto" w:sz="4" w:space="0"/>
            </w:tcBorders>
            <w:shd w:val="clear" w:color="auto" w:fill="E6E6E6"/>
          </w:tcPr>
          <w:p>
            <w:pPr>
              <w:jc w:val="center"/>
            </w:pPr>
            <w:r>
              <w:rPr>
                <w:rFonts w:hint="eastAsia"/>
              </w:rPr>
              <w:t>外表面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pPr>
              <w:jc w:val="center"/>
            </w:pPr>
            <w:r>
              <w:rPr>
                <w:rFonts w:hint="eastAsia"/>
              </w:rPr>
              <w:t>反射比材料设计取值</w:t>
            </w:r>
          </w:p>
        </w:tc>
        <w:tc>
          <w:tcPr>
            <w:tcW w:w="1661" w:type="dxa"/>
            <w:tcBorders>
              <w:top w:val="single" w:color="auto" w:sz="4" w:space="0"/>
            </w:tcBorders>
            <w:shd w:val="clear" w:color="auto" w:fill="auto"/>
            <w:vAlign w:val="center"/>
          </w:tcPr>
          <w:p>
            <w:pPr>
              <w:jc w:val="center"/>
            </w:pPr>
            <w:bookmarkStart w:id="71" w:name="顶棚反射比"/>
            <w:r>
              <w:rPr>
                <w:rFonts w:hint="eastAsia"/>
              </w:rPr>
              <w:t>0.75</w:t>
            </w:r>
            <w:bookmarkEnd w:id="71"/>
          </w:p>
        </w:tc>
        <w:tc>
          <w:tcPr>
            <w:tcW w:w="1661" w:type="dxa"/>
            <w:tcBorders>
              <w:top w:val="single" w:color="auto" w:sz="4" w:space="0"/>
            </w:tcBorders>
            <w:vAlign w:val="center"/>
          </w:tcPr>
          <w:p>
            <w:pPr>
              <w:jc w:val="center"/>
            </w:pPr>
            <w:bookmarkStart w:id="72" w:name="地面反射比"/>
            <w:r>
              <w:rPr>
                <w:rFonts w:hint="eastAsia"/>
              </w:rPr>
              <w:t>0.20</w:t>
            </w:r>
            <w:bookmarkEnd w:id="72"/>
          </w:p>
        </w:tc>
        <w:tc>
          <w:tcPr>
            <w:tcW w:w="1661" w:type="dxa"/>
            <w:tcBorders>
              <w:top w:val="single" w:color="auto" w:sz="4" w:space="0"/>
            </w:tcBorders>
            <w:vAlign w:val="center"/>
          </w:tcPr>
          <w:p>
            <w:pPr>
              <w:jc w:val="center"/>
            </w:pPr>
            <w:bookmarkStart w:id="73" w:name="墙面反射比"/>
            <w:r>
              <w:rPr>
                <w:rFonts w:hint="eastAsia"/>
              </w:rPr>
              <w:t>0.33</w:t>
            </w:r>
            <w:bookmarkEnd w:id="73"/>
          </w:p>
        </w:tc>
        <w:tc>
          <w:tcPr>
            <w:tcW w:w="1662" w:type="dxa"/>
            <w:tcBorders>
              <w:top w:val="single" w:color="auto" w:sz="4" w:space="0"/>
            </w:tcBorders>
            <w:vAlign w:val="center"/>
          </w:tcPr>
          <w:p>
            <w:pPr>
              <w:jc w:val="center"/>
            </w:pPr>
            <w:bookmarkStart w:id="74" w:name="外表面反射比"/>
            <w:r>
              <w:rPr>
                <w:rFonts w:hint="eastAsia"/>
              </w:rPr>
              <w:t>0.33</w:t>
            </w:r>
            <w:bookmarkEnd w:id="74"/>
          </w:p>
        </w:tc>
      </w:tr>
    </w:tbl>
    <w:p>
      <w:pPr>
        <w:pStyle w:val="14"/>
        <w:spacing w:line="360" w:lineRule="auto"/>
        <w:ind w:firstLine="360"/>
        <w:rPr>
          <w:rFonts w:ascii="Times New Roman" w:hAnsi="Times New Roman"/>
          <w:sz w:val="18"/>
          <w:szCs w:val="18"/>
        </w:rPr>
      </w:pPr>
    </w:p>
    <w:p>
      <w:pPr>
        <w:pStyle w:val="4"/>
      </w:pPr>
      <w:bookmarkStart w:id="75" w:name="_Toc26453"/>
      <w:r>
        <w:rPr>
          <w:rFonts w:hint="eastAsia"/>
        </w:rPr>
        <w:t>门窗类型参数</w:t>
      </w:r>
      <w:bookmarkEnd w:id="75"/>
    </w:p>
    <w:p>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sz w:val="18"/>
          <w:szCs w:val="18"/>
          <w:lang w:val="en-US"/>
        </w:rPr>
      </w:pPr>
    </w:p>
    <w:p>
      <w:pPr>
        <w:pStyle w:val="5"/>
      </w:pPr>
      <w:bookmarkStart w:id="76" w:name="_Toc7539"/>
      <w:bookmarkStart w:id="77" w:name="窗"/>
      <w:r>
        <w:t>普通</w:t>
      </w:r>
      <w:r>
        <w:rPr>
          <w:rFonts w:hint="eastAsia"/>
        </w:rPr>
        <w:t>窗</w:t>
      </w:r>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C11018</w:t>
            </w:r>
          </w:p>
        </w:tc>
        <w:tc>
          <w:tcPr>
            <w:vAlign w:val="center"/>
          </w:tcPr>
          <w:p>
            <w:pPr>
              <w:jc w:val="center"/>
              <w:rPr>
                <w:sz w:val="18"/>
                <w:szCs w:val="18"/>
              </w:rPr>
            </w:pPr>
            <w:r>
              <w:rPr>
                <w:sz w:val="18"/>
                <w:szCs w:val="18"/>
              </w:rPr>
              <w:t>11000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C11021</w:t>
            </w:r>
          </w:p>
        </w:tc>
        <w:tc>
          <w:tcPr>
            <w:vAlign w:val="center"/>
          </w:tcPr>
          <w:p>
            <w:pPr>
              <w:jc w:val="center"/>
              <w:rPr>
                <w:sz w:val="18"/>
                <w:szCs w:val="18"/>
              </w:rPr>
            </w:pPr>
            <w:r>
              <w:rPr>
                <w:sz w:val="18"/>
                <w:szCs w:val="18"/>
              </w:rPr>
              <w:t>11000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C1416</w:t>
            </w:r>
          </w:p>
        </w:tc>
        <w:tc>
          <w:tcPr>
            <w:vAlign w:val="center"/>
          </w:tcPr>
          <w:p>
            <w:pPr>
              <w:jc w:val="center"/>
              <w:rPr>
                <w:sz w:val="18"/>
                <w:szCs w:val="18"/>
              </w:rPr>
            </w:pPr>
            <w:r>
              <w:rPr>
                <w:sz w:val="18"/>
                <w:szCs w:val="18"/>
              </w:rPr>
              <w:t>1400</w:t>
            </w:r>
          </w:p>
        </w:tc>
        <w:tc>
          <w:tcPr>
            <w:vAlign w:val="center"/>
          </w:tcPr>
          <w:p>
            <w:pPr>
              <w:jc w:val="center"/>
              <w:rPr>
                <w:sz w:val="18"/>
                <w:szCs w:val="18"/>
              </w:rPr>
            </w:pPr>
            <w:r>
              <w:rPr>
                <w:sz w:val="18"/>
                <w:szCs w:val="18"/>
              </w:rPr>
              <w:t>1600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C1816</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1600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C2406</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600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C2724</w:t>
            </w:r>
          </w:p>
        </w:tc>
        <w:tc>
          <w:tcPr>
            <w:vAlign w:val="center"/>
          </w:tcPr>
          <w:p>
            <w:pPr>
              <w:jc w:val="center"/>
              <w:rPr>
                <w:sz w:val="18"/>
                <w:szCs w:val="18"/>
              </w:rPr>
            </w:pPr>
            <w:r>
              <w:rPr>
                <w:sz w:val="18"/>
                <w:szCs w:val="18"/>
              </w:rPr>
              <w:t>2700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C3006</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600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C3306</w:t>
            </w:r>
          </w:p>
        </w:tc>
        <w:tc>
          <w:tcPr>
            <w:vAlign w:val="center"/>
          </w:tcPr>
          <w:p>
            <w:pPr>
              <w:jc w:val="center"/>
              <w:rPr>
                <w:sz w:val="18"/>
                <w:szCs w:val="18"/>
              </w:rPr>
            </w:pPr>
            <w:r>
              <w:rPr>
                <w:sz w:val="18"/>
                <w:szCs w:val="18"/>
              </w:rPr>
              <w:t>3300</w:t>
            </w:r>
          </w:p>
        </w:tc>
        <w:tc>
          <w:tcPr>
            <w:vAlign w:val="center"/>
          </w:tcPr>
          <w:p>
            <w:pPr>
              <w:jc w:val="center"/>
              <w:rPr>
                <w:sz w:val="18"/>
                <w:szCs w:val="18"/>
              </w:rPr>
            </w:pPr>
            <w:r>
              <w:rPr>
                <w:sz w:val="18"/>
                <w:szCs w:val="18"/>
              </w:rPr>
              <w:t>700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C3321</w:t>
            </w:r>
          </w:p>
        </w:tc>
        <w:tc>
          <w:tcPr>
            <w:vAlign w:val="center"/>
          </w:tcPr>
          <w:p>
            <w:pPr>
              <w:jc w:val="center"/>
              <w:rPr>
                <w:sz w:val="18"/>
                <w:szCs w:val="18"/>
              </w:rPr>
            </w:pPr>
            <w:r>
              <w:rPr>
                <w:sz w:val="18"/>
                <w:szCs w:val="18"/>
              </w:rPr>
              <w:t>3300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C8015</w:t>
            </w:r>
          </w:p>
        </w:tc>
        <w:tc>
          <w:tcPr>
            <w:vAlign w:val="center"/>
          </w:tcPr>
          <w:p>
            <w:pPr>
              <w:jc w:val="center"/>
              <w:rPr>
                <w:sz w:val="18"/>
                <w:szCs w:val="18"/>
              </w:rPr>
            </w:pPr>
            <w:r>
              <w:rPr>
                <w:sz w:val="18"/>
                <w:szCs w:val="18"/>
              </w:rPr>
              <w:t>8000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C9506</w:t>
            </w:r>
          </w:p>
        </w:tc>
        <w:tc>
          <w:tcPr>
            <w:vAlign w:val="center"/>
          </w:tcPr>
          <w:p>
            <w:pPr>
              <w:jc w:val="center"/>
              <w:rPr>
                <w:sz w:val="18"/>
                <w:szCs w:val="18"/>
              </w:rPr>
            </w:pPr>
            <w:r>
              <w:rPr>
                <w:sz w:val="18"/>
                <w:szCs w:val="18"/>
              </w:rPr>
              <w:t>9500</w:t>
            </w:r>
          </w:p>
        </w:tc>
        <w:tc>
          <w:tcPr>
            <w:vAlign w:val="center"/>
          </w:tcPr>
          <w:p>
            <w:pPr>
              <w:jc w:val="center"/>
              <w:rPr>
                <w:sz w:val="18"/>
                <w:szCs w:val="18"/>
              </w:rPr>
            </w:pPr>
            <w:r>
              <w:rPr>
                <w:sz w:val="18"/>
                <w:szCs w:val="18"/>
              </w:rPr>
              <w:t>600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DK1515</w:t>
            </w:r>
          </w:p>
        </w:tc>
        <w:tc>
          <w:tcPr>
            <w:vAlign w:val="center"/>
          </w:tcPr>
          <w:p>
            <w:pPr>
              <w:jc w:val="center"/>
              <w:rPr>
                <w:sz w:val="18"/>
                <w:szCs w:val="18"/>
              </w:rPr>
            </w:pPr>
            <w:r>
              <w:rPr>
                <w:sz w:val="18"/>
                <w:szCs w:val="18"/>
              </w:rPr>
              <w:t>9002</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DK1524</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透光门-M1221</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透光门-M2430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透光门-M3030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8" w:name="_Toc13802"/>
      <w:bookmarkStart w:id="79" w:name="幕墙"/>
      <w:r>
        <w:rPr>
          <w:rFonts w:hint="eastAsia"/>
        </w:rPr>
        <w:t>玻璃幕墙</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15232</w:t>
            </w:r>
          </w:p>
        </w:tc>
        <w:tc>
          <w:tcPr>
            <w:vAlign w:val="center"/>
          </w:tcPr>
          <w:p>
            <w:pPr>
              <w:jc w:val="center"/>
              <w:rPr>
                <w:sz w:val="18"/>
                <w:szCs w:val="18"/>
              </w:rPr>
            </w:pPr>
            <w:r>
              <w:rPr>
                <w:sz w:val="18"/>
                <w:szCs w:val="18"/>
              </w:rPr>
              <w:t>6002</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遮阳Low-E</w:t>
            </w:r>
          </w:p>
        </w:tc>
        <w:tc>
          <w:tcPr>
            <w:vAlign w:val="center"/>
          </w:tcPr>
          <w:p>
            <w:pPr>
              <w:jc w:val="center"/>
              <w:rPr>
                <w:sz w:val="18"/>
                <w:szCs w:val="18"/>
              </w:rPr>
            </w:pPr>
            <w:r>
              <w:rPr>
                <w:sz w:val="18"/>
                <w:szCs w:val="18"/>
              </w:rPr>
              <w:t>0.65</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80" w:name="_Toc16387"/>
      <w:bookmarkStart w:id="81" w:name="天窗"/>
      <w:r>
        <w:rPr>
          <w:rFonts w:hint="eastAsia"/>
        </w:rPr>
        <w:t>天 窗</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36125</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34.712</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遮阳Low-E</w:t>
            </w:r>
          </w:p>
        </w:tc>
        <w:tc>
          <w:tcPr>
            <w:vAlign w:val="center"/>
          </w:tcPr>
          <w:p>
            <w:pPr>
              <w:jc w:val="center"/>
              <w:rPr>
                <w:sz w:val="18"/>
                <w:szCs w:val="18"/>
              </w:rPr>
            </w:pPr>
            <w:r>
              <w:rPr>
                <w:sz w:val="18"/>
                <w:szCs w:val="18"/>
              </w:rPr>
              <w:t>0.65</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82" w:name="窗污染折减系数"/>
      <w:bookmarkEnd w:id="82"/>
    </w:p>
    <w:p>
      <w:pPr>
        <w:pStyle w:val="2"/>
        <w:ind w:left="432" w:hanging="432"/>
      </w:pPr>
      <w:bookmarkStart w:id="83" w:name="_Toc23402"/>
      <w:r>
        <w:rPr>
          <w:rFonts w:hint="eastAsia"/>
        </w:rPr>
        <w:t>动态采光达标统计</w:t>
      </w:r>
      <w:bookmarkEnd w:id="83"/>
    </w:p>
    <w:p>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pPr>
              <w:jc w:val="center"/>
              <w:rPr>
                <w:sz w:val="18"/>
                <w:szCs w:val="18"/>
              </w:rPr>
            </w:pPr>
            <w:r>
              <w:rPr>
                <w:sz w:val="18"/>
                <w:szCs w:val="18"/>
              </w:rPr>
              <w:t>楼层</w:t>
            </w:r>
          </w:p>
        </w:tc>
        <w:tc>
          <w:tcPr>
            <w:gridSpan w:val="2"/>
            <w:shd w:val="clear" w:color="auto" w:fill="E6E6E6"/>
            <w:vAlign w:val="center"/>
          </w:tcPr>
          <w:p>
            <w:pPr>
              <w:jc w:val="center"/>
              <w:rPr>
                <w:sz w:val="18"/>
                <w:szCs w:val="18"/>
              </w:rPr>
            </w:pPr>
            <w:r>
              <w:rPr>
                <w:sz w:val="18"/>
                <w:szCs w:val="18"/>
              </w:rPr>
              <w:t>房间</w:t>
            </w:r>
          </w:p>
        </w:tc>
        <w:tc>
          <w:tcPr>
            <w:gridSpan w:val="2"/>
            <w:shd w:val="clear" w:color="auto" w:fill="E6E6E6"/>
            <w:vAlign w:val="center"/>
          </w:tcPr>
          <w:p>
            <w:pPr>
              <w:jc w:val="center"/>
              <w:rPr>
                <w:sz w:val="18"/>
                <w:szCs w:val="18"/>
              </w:rPr>
            </w:pPr>
            <w:r>
              <w:rPr>
                <w:sz w:val="18"/>
                <w:szCs w:val="18"/>
              </w:rPr>
              <w:t>对标功能</w:t>
            </w:r>
          </w:p>
        </w:tc>
        <w:tc>
          <w:tcPr>
            <w:gridSpan w:val="2"/>
            <w:shd w:val="clear" w:color="auto" w:fill="E6E6E6"/>
            <w:vAlign w:val="center"/>
          </w:tcPr>
          <w:p>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1</w:t>
            </w:r>
          </w:p>
        </w:tc>
        <w:tc>
          <w:tcPr>
            <w:gridSpan w:val="2"/>
            <w:vAlign w:val="center"/>
          </w:tcPr>
          <w:p>
            <w:pPr>
              <w:jc w:val="center"/>
              <w:rPr>
                <w:sz w:val="18"/>
                <w:szCs w:val="18"/>
              </w:rPr>
            </w:pPr>
            <w:r>
              <w:rPr>
                <w:sz w:val="18"/>
                <w:szCs w:val="18"/>
              </w:rPr>
              <w:t>1002[展览馆]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637.42</w:t>
            </w:r>
          </w:p>
        </w:tc>
        <w:tc>
          <w:tcPr>
            <w:gridSpan w:val="2"/>
            <w:vAlign w:val="center"/>
          </w:tcPr>
          <w:p>
            <w:pPr>
              <w:jc w:val="center"/>
              <w:rPr>
                <w:sz w:val="18"/>
                <w:szCs w:val="18"/>
              </w:rPr>
            </w:pPr>
            <w:r>
              <w:rPr>
                <w:sz w:val="18"/>
                <w:szCs w:val="18"/>
              </w:rPr>
              <w:t>93</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1004[大厅]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333.20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1007[大厅]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208.36</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1008[展览馆]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196.59</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1009[大厅]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157.30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1010[大厅]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137.69</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1011[大厅]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119.76</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1017[大厅]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58.46</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1019[会议室]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57.11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1020[办公室]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50.56</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1022[大厅]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43.30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1023[会议室]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32.39</w:t>
            </w:r>
          </w:p>
        </w:tc>
        <w:tc>
          <w:tcPr>
            <w:gridSpan w:val="2"/>
            <w:vAlign w:val="center"/>
          </w:tcPr>
          <w:p>
            <w:pPr>
              <w:jc w:val="center"/>
              <w:rPr>
                <w:sz w:val="18"/>
                <w:szCs w:val="18"/>
              </w:rPr>
            </w:pPr>
            <w:r>
              <w:rPr>
                <w:sz w:val="18"/>
                <w:szCs w:val="18"/>
              </w:rPr>
              <w:t>66</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1031[办公室]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24.53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1032[办公室]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24.53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2</w:t>
            </w:r>
          </w:p>
        </w:tc>
        <w:tc>
          <w:tcPr>
            <w:gridSpan w:val="2"/>
            <w:vAlign w:val="center"/>
          </w:tcPr>
          <w:p>
            <w:pPr>
              <w:jc w:val="center"/>
              <w:rPr>
                <w:sz w:val="18"/>
                <w:szCs w:val="18"/>
              </w:rPr>
            </w:pPr>
            <w:r>
              <w:rPr>
                <w:sz w:val="18"/>
                <w:szCs w:val="18"/>
              </w:rPr>
              <w:t>2001[展览馆]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532.87</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2024[办公室]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32.39</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2025[办公室]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32.17</w:t>
            </w:r>
          </w:p>
        </w:tc>
        <w:tc>
          <w:tcPr>
            <w:gridSpan w:val="2"/>
            <w:vAlign w:val="center"/>
          </w:tcPr>
          <w:p>
            <w:pPr>
              <w:jc w:val="center"/>
              <w:rPr>
                <w:sz w:val="18"/>
                <w:szCs w:val="18"/>
              </w:rPr>
            </w:pPr>
            <w:r>
              <w:rPr>
                <w:sz w:val="18"/>
                <w:szCs w:val="18"/>
              </w:rPr>
              <w:t>81</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2026[办公室]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31.47</w:t>
            </w:r>
          </w:p>
        </w:tc>
        <w:tc>
          <w:tcPr>
            <w:gridSpan w:val="2"/>
            <w:vAlign w:val="center"/>
          </w:tcPr>
          <w:p>
            <w:pPr>
              <w:jc w:val="center"/>
              <w:rPr>
                <w:sz w:val="18"/>
                <w:szCs w:val="18"/>
              </w:rPr>
            </w:pPr>
            <w:r>
              <w:rPr>
                <w:sz w:val="18"/>
                <w:szCs w:val="18"/>
              </w:rPr>
              <w:t>90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2027[办公室]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27.65</w:t>
            </w:r>
          </w:p>
        </w:tc>
        <w:tc>
          <w:tcPr>
            <w:gridSpan w:val="2"/>
            <w:vAlign w:val="center"/>
          </w:tcPr>
          <w:p>
            <w:pPr>
              <w:jc w:val="center"/>
              <w:rPr>
                <w:sz w:val="18"/>
                <w:szCs w:val="18"/>
              </w:rPr>
            </w:pPr>
            <w:r>
              <w:rPr>
                <w:sz w:val="18"/>
                <w:szCs w:val="18"/>
              </w:rPr>
              <w:t>91</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2028[办公室]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27.57</w:t>
            </w:r>
          </w:p>
        </w:tc>
        <w:tc>
          <w:tcPr>
            <w:gridSpan w:val="2"/>
            <w:vAlign w:val="center"/>
          </w:tcPr>
          <w:p>
            <w:pPr>
              <w:jc w:val="center"/>
              <w:rPr>
                <w:sz w:val="18"/>
                <w:szCs w:val="18"/>
              </w:rPr>
            </w:pPr>
            <w:r>
              <w:rPr>
                <w:sz w:val="18"/>
                <w:szCs w:val="18"/>
              </w:rPr>
              <w:t>92</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jc w:val="center"/>
              <w:rPr>
                <w:sz w:val="18"/>
                <w:szCs w:val="18"/>
              </w:rPr>
            </w:pPr>
            <w:r>
              <w:rPr>
                <w:sz w:val="18"/>
                <w:szCs w:val="18"/>
              </w:rPr>
              <w:t>房间类型</w:t>
            </w:r>
          </w:p>
        </w:tc>
        <w:tc>
          <w:tcPr>
            <w:gridSpan w:val="2"/>
            <w:shd w:val="clear" w:color="auto" w:fill="E6E6E6"/>
            <w:vAlign w:val="center"/>
          </w:tcPr>
          <w:p>
            <w:pPr>
              <w:jc w:val="center"/>
              <w:rPr>
                <w:sz w:val="18"/>
                <w:szCs w:val="18"/>
              </w:rPr>
            </w:pPr>
            <w:r>
              <w:rPr>
                <w:sz w:val="18"/>
                <w:szCs w:val="18"/>
              </w:rPr>
              <w:t>采光类型</w:t>
            </w:r>
          </w:p>
        </w:tc>
        <w:tc>
          <w:tcPr>
            <w:gridSpan w:val="2"/>
            <w:shd w:val="clear" w:color="auto" w:fill="E6E6E6"/>
            <w:vAlign w:val="center"/>
          </w:tcPr>
          <w:p>
            <w:pPr>
              <w:jc w:val="center"/>
              <w:rPr>
                <w:sz w:val="18"/>
                <w:szCs w:val="18"/>
              </w:rPr>
            </w:pPr>
            <w:r>
              <w:rPr>
                <w:sz w:val="18"/>
                <w:szCs w:val="18"/>
              </w:rPr>
              <w:t>设计照度(Lx)</w:t>
            </w:r>
          </w:p>
        </w:tc>
        <w:tc>
          <w:tcPr>
            <w:gridSpan w:val="3"/>
            <w:shd w:val="clear" w:color="auto" w:fill="E6E6E6"/>
            <w:vAlign w:val="center"/>
          </w:tcPr>
          <w:p>
            <w:pPr>
              <w:jc w:val="center"/>
              <w:rPr>
                <w:sz w:val="18"/>
                <w:szCs w:val="18"/>
              </w:rPr>
            </w:pPr>
            <w:r>
              <w:rPr>
                <w:sz w:val="18"/>
                <w:szCs w:val="18"/>
              </w:rPr>
              <w:t>总面积(m2)</w:t>
            </w:r>
          </w:p>
        </w:tc>
        <w:tc>
          <w:tcPr>
            <w:gridSpan w:val="3"/>
            <w:shd w:val="clear" w:color="auto" w:fill="E6E6E6"/>
            <w:vAlign w:val="center"/>
          </w:tcPr>
          <w:p>
            <w:pPr>
              <w:jc w:val="center"/>
              <w:rPr>
                <w:sz w:val="18"/>
                <w:szCs w:val="18"/>
              </w:rPr>
            </w:pPr>
            <w:r>
              <w:rPr>
                <w:sz w:val="18"/>
                <w:szCs w:val="18"/>
              </w:rPr>
              <w:t>达标面积比例(%)</w:t>
            </w:r>
          </w:p>
        </w:tc>
        <w:tc>
          <w:tcPr>
            <w:gridSpan w:val="3"/>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gridSpan w:val="3"/>
            <w:vAlign w:val="center"/>
          </w:tcPr>
          <w:p>
            <w:pPr>
              <w:jc w:val="center"/>
              <w:rPr>
                <w:sz w:val="18"/>
                <w:szCs w:val="18"/>
              </w:rPr>
            </w:pPr>
            <w:r>
              <w:rPr>
                <w:sz w:val="18"/>
                <w:szCs w:val="18"/>
              </w:rPr>
              <w:t>1366.88</w:t>
            </w:r>
          </w:p>
        </w:tc>
        <w:tc>
          <w:tcPr>
            <w:gridSpan w:val="3"/>
            <w:vAlign w:val="center"/>
          </w:tcPr>
          <w:p>
            <w:pPr>
              <w:jc w:val="center"/>
              <w:rPr>
                <w:sz w:val="18"/>
                <w:szCs w:val="18"/>
              </w:rPr>
            </w:pPr>
            <w:r>
              <w:rPr>
                <w:sz w:val="18"/>
                <w:szCs w:val="18"/>
              </w:rPr>
              <w:t>97</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gridSpan w:val="3"/>
            <w:vAlign w:val="center"/>
          </w:tcPr>
          <w:p>
            <w:pPr>
              <w:jc w:val="center"/>
              <w:rPr>
                <w:sz w:val="18"/>
                <w:szCs w:val="18"/>
              </w:rPr>
            </w:pPr>
            <w:r>
              <w:rPr>
                <w:sz w:val="18"/>
                <w:szCs w:val="18"/>
              </w:rPr>
              <w:t>938.30</w:t>
            </w:r>
          </w:p>
        </w:tc>
        <w:tc>
          <w:tcPr>
            <w:gridSpan w:val="3"/>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150</w:t>
            </w:r>
          </w:p>
        </w:tc>
        <w:tc>
          <w:tcPr>
            <w:gridSpan w:val="3"/>
            <w:vAlign w:val="center"/>
          </w:tcPr>
          <w:p>
            <w:pPr>
              <w:jc w:val="center"/>
              <w:rPr>
                <w:sz w:val="18"/>
                <w:szCs w:val="18"/>
              </w:rPr>
            </w:pPr>
            <w:r>
              <w:rPr>
                <w:sz w:val="18"/>
                <w:szCs w:val="18"/>
              </w:rPr>
              <w:t>119.76</w:t>
            </w:r>
          </w:p>
        </w:tc>
        <w:tc>
          <w:tcPr>
            <w:gridSpan w:val="3"/>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gridSpan w:val="3"/>
            <w:vAlign w:val="center"/>
          </w:tcPr>
          <w:p>
            <w:pPr>
              <w:jc w:val="center"/>
              <w:rPr>
                <w:sz w:val="18"/>
                <w:szCs w:val="18"/>
              </w:rPr>
            </w:pPr>
            <w:r>
              <w:rPr>
                <w:sz w:val="18"/>
                <w:szCs w:val="18"/>
              </w:rPr>
              <w:t>89.50</w:t>
            </w:r>
          </w:p>
        </w:tc>
        <w:tc>
          <w:tcPr>
            <w:gridSpan w:val="3"/>
            <w:vAlign w:val="center"/>
          </w:tcPr>
          <w:p>
            <w:pPr>
              <w:jc w:val="center"/>
              <w:rPr>
                <w:sz w:val="18"/>
                <w:szCs w:val="18"/>
              </w:rPr>
            </w:pPr>
            <w:r>
              <w:rPr>
                <w:sz w:val="18"/>
                <w:szCs w:val="18"/>
              </w:rPr>
              <w:t>88</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gridSpan w:val="3"/>
            <w:vAlign w:val="center"/>
          </w:tcPr>
          <w:p>
            <w:pPr>
              <w:jc w:val="center"/>
              <w:rPr>
                <w:sz w:val="18"/>
                <w:szCs w:val="18"/>
              </w:rPr>
            </w:pPr>
            <w:r>
              <w:rPr>
                <w:sz w:val="18"/>
                <w:szCs w:val="18"/>
              </w:rPr>
              <w:t>250.88</w:t>
            </w:r>
          </w:p>
        </w:tc>
        <w:tc>
          <w:tcPr>
            <w:gridSpan w:val="3"/>
            <w:vAlign w:val="center"/>
          </w:tcPr>
          <w:p>
            <w:pPr>
              <w:jc w:val="center"/>
              <w:rPr>
                <w:sz w:val="18"/>
                <w:szCs w:val="18"/>
              </w:rPr>
            </w:pPr>
            <w:r>
              <w:rPr>
                <w:sz w:val="18"/>
                <w:szCs w:val="18"/>
              </w:rPr>
              <w:t>94</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pPr>
              <w:jc w:val="center"/>
              <w:rPr>
                <w:sz w:val="18"/>
                <w:szCs w:val="18"/>
              </w:rPr>
            </w:pPr>
            <w:r>
              <w:rPr>
                <w:sz w:val="18"/>
                <w:szCs w:val="18"/>
              </w:rPr>
              <w:t>多区域面积加权平均</w:t>
            </w:r>
          </w:p>
        </w:tc>
        <w:tc>
          <w:tcPr>
            <w:gridSpan w:val="3"/>
            <w:vAlign w:val="center"/>
          </w:tcPr>
          <w:p>
            <w:pPr>
              <w:jc w:val="center"/>
              <w:rPr>
                <w:sz w:val="18"/>
                <w:szCs w:val="18"/>
              </w:rPr>
            </w:pPr>
            <w:r>
              <w:rPr>
                <w:sz w:val="18"/>
                <w:szCs w:val="18"/>
              </w:rPr>
              <w:t>97</w:t>
            </w:r>
          </w:p>
        </w:tc>
        <w:tc>
          <w:tcPr>
            <w:gridSpan w:val="3"/>
            <w:vAlign w:val="center"/>
          </w:tcPr>
          <w:p>
            <w:pPr>
              <w:jc w:val="center"/>
              <w:rPr>
                <w:sz w:val="18"/>
                <w:szCs w:val="18"/>
              </w:rPr>
            </w:pPr>
            <w:r>
              <w:rPr>
                <w:b/>
                <w:sz w:val="18"/>
                <w:szCs w:val="18"/>
              </w:rPr>
              <w:t>3分</w:t>
            </w:r>
          </w:p>
        </w:tc>
      </w:tr>
    </w:tbl>
    <w:p>
      <w:pPr>
        <w:pStyle w:val="3"/>
        <w:rPr>
          <w:rFonts w:ascii="宋体" w:hAnsi="宋体"/>
          <w:sz w:val="18"/>
          <w:szCs w:val="18"/>
          <w:lang w:val="en-US"/>
        </w:rPr>
      </w:pPr>
      <w:bookmarkStart w:id="84" w:name="达标率表格"/>
      <w:bookmarkEnd w:id="84"/>
    </w:p>
    <w:p>
      <w:pPr>
        <w:pStyle w:val="2"/>
        <w:ind w:left="432" w:hanging="432"/>
      </w:pPr>
      <w:bookmarkStart w:id="85" w:name="_Toc513555457"/>
      <w:bookmarkStart w:id="86" w:name="_Toc32656"/>
      <w:r>
        <w:rPr>
          <w:rFonts w:hint="eastAsia"/>
        </w:rPr>
        <w:t>动态采光</w:t>
      </w:r>
      <w:bookmarkEnd w:id="85"/>
      <w:r>
        <w:rPr>
          <w:rFonts w:hint="eastAsia"/>
        </w:rPr>
        <w:t>统计图</w:t>
      </w:r>
      <w:bookmarkEnd w:id="86"/>
    </w:p>
    <w:p>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b/>
          <w:bCs/>
          <w:lang w:val="en-US"/>
        </w:rPr>
      </w:pPr>
      <w:bookmarkStart w:id="87" w:name="逐日统计图"/>
      <w:bookmarkEnd w:id="87"/>
      <w:r>
        <w:drawing>
          <wp:inline distT="0" distB="0" distL="0" distR="0">
            <wp:extent cx="5667375" cy="31242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3124200"/>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动态采光逐日统计图</w:t>
      </w:r>
    </w:p>
    <w:p>
      <w:pPr>
        <w:pStyle w:val="3"/>
        <w:jc w:val="center"/>
        <w:rPr>
          <w:b/>
          <w:bCs/>
          <w:lang w:val="en-US"/>
        </w:rPr>
      </w:pPr>
      <w:bookmarkStart w:id="88" w:name="逐月统计图"/>
      <w:bookmarkEnd w:id="88"/>
      <w:r>
        <w:drawing>
          <wp:inline distT="0" distB="0" distL="0" distR="0">
            <wp:extent cx="5667375" cy="31242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3124200"/>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动态采光逐月统计图</w:t>
      </w:r>
    </w:p>
    <w:p>
      <w:pPr>
        <w:pStyle w:val="2"/>
        <w:ind w:left="432" w:hanging="432"/>
      </w:pPr>
      <w:bookmarkStart w:id="89" w:name="动态采光彩图"/>
      <w:bookmarkStart w:id="90" w:name="_Toc1473"/>
      <w:r>
        <w:t>动态采光彩图</w:t>
      </w:r>
      <w:bookmarkEnd w:id="89"/>
      <w:bookmarkEnd w:id="90"/>
    </w:p>
    <w:p>
      <w:pPr>
        <w:jc w:val="center"/>
      </w:pPr>
      <w:r>
        <w:drawing>
          <wp:inline distT="0" distB="0" distL="0" distR="0">
            <wp:extent cx="5667375" cy="53149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5314950"/>
                    </a:xfrm>
                    <a:prstGeom prst="rect">
                      <a:avLst/>
                    </a:prstGeom>
                  </pic:spPr>
                </pic:pic>
              </a:graphicData>
            </a:graphic>
          </wp:inline>
        </w:drawing>
      </w:r>
    </w:p>
    <w:p>
      <w:pPr>
        <w:jc w:val="center"/>
      </w:pPr>
      <w:r>
        <w:t>1层</w:t>
      </w:r>
    </w:p>
    <w:p>
      <w:pPr>
        <w:jc w:val="center"/>
      </w:pPr>
      <w:r>
        <w:drawing>
          <wp:inline distT="0" distB="0" distL="0" distR="0">
            <wp:extent cx="5667375" cy="48768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4876800"/>
                    </a:xfrm>
                    <a:prstGeom prst="rect">
                      <a:avLst/>
                    </a:prstGeom>
                  </pic:spPr>
                </pic:pic>
              </a:graphicData>
            </a:graphic>
          </wp:inline>
        </w:drawing>
      </w:r>
    </w:p>
    <w:p>
      <w:pPr>
        <w:jc w:val="center"/>
      </w:pPr>
      <w:r>
        <w:t>2层</w:t>
      </w:r>
    </w:p>
    <w:p>
      <w:pPr>
        <w:jc w:val="center"/>
      </w:pPr>
    </w:p>
    <w:p>
      <w:pPr>
        <w:pStyle w:val="2"/>
        <w:ind w:left="432" w:hanging="432"/>
      </w:pPr>
      <w:bookmarkStart w:id="91" w:name="_Toc23093"/>
      <w:r>
        <w:rPr>
          <w:rFonts w:hint="eastAsia"/>
        </w:rPr>
        <w:t>评价结论</w:t>
      </w:r>
      <w:bookmarkEnd w:id="91"/>
    </w:p>
    <w:p>
      <w:pPr>
        <w:pStyle w:val="3"/>
        <w:ind w:firstLine="420" w:firstLineChars="200"/>
      </w:pPr>
      <w:bookmarkStart w:id="92" w:name="标准名称3"/>
      <w:r>
        <w:t>《绿色建筑评价标准》GB/T 50378-2019</w:t>
      </w:r>
      <w:bookmarkEnd w:id="92"/>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pPr>
              <w:jc w:val="center"/>
            </w:pPr>
            <w:r>
              <w:t>采光总面积（</w:t>
            </w:r>
            <w:r>
              <w:rPr>
                <w:rFonts w:hint="eastAsia"/>
              </w:rPr>
              <w:t>m</w:t>
            </w:r>
            <w:r>
              <w:rPr>
                <w:vertAlign w:val="superscript"/>
              </w:rPr>
              <w:t>2</w:t>
            </w:r>
            <w:r>
              <w:t>）</w:t>
            </w:r>
          </w:p>
        </w:tc>
        <w:tc>
          <w:tcPr>
            <w:tcW w:w="2528" w:type="dxa"/>
            <w:shd w:val="clear" w:color="auto" w:fill="E6E6E6"/>
            <w:vAlign w:val="center"/>
          </w:tcPr>
          <w:p>
            <w:pPr>
              <w:jc w:val="center"/>
            </w:pPr>
            <w:bookmarkStart w:id="93" w:name="动态评价指标"/>
            <w:r>
              <w:rPr>
                <w:rFonts w:hint="eastAsia"/>
              </w:rPr>
              <w:t>达标面积比例(%)</w:t>
            </w:r>
            <w:bookmarkEnd w:id="93"/>
          </w:p>
        </w:tc>
        <w:tc>
          <w:tcPr>
            <w:tcW w:w="2126" w:type="dxa"/>
            <w:shd w:val="clear" w:color="auto" w:fill="E6E6E6"/>
            <w:vAlign w:val="center"/>
          </w:tcPr>
          <w:p>
            <w:pPr>
              <w:jc w:val="center"/>
            </w:pPr>
            <w:r>
              <w:rPr>
                <w:rFonts w:hint="eastAsia"/>
              </w:rPr>
              <w:t>标准</w:t>
            </w:r>
            <w:r>
              <w:t>要求</w:t>
            </w:r>
            <w:r>
              <w:rPr>
                <w:rFonts w:hint="eastAsia"/>
              </w:rPr>
              <w:t>（</w:t>
            </w:r>
            <w:bookmarkStart w:id="94" w:name="动态评价指标单位"/>
            <w:r>
              <w:rPr>
                <w:rFonts w:hint="eastAsia"/>
              </w:rPr>
              <w:t>%</w:t>
            </w:r>
            <w:bookmarkEnd w:id="94"/>
            <w:r>
              <w:rPr>
                <w:rFonts w:hint="eastAsia"/>
              </w:rPr>
              <w:t>）</w:t>
            </w:r>
          </w:p>
        </w:tc>
        <w:tc>
          <w:tcPr>
            <w:tcW w:w="1855" w:type="dxa"/>
            <w:shd w:val="clear" w:color="auto" w:fill="E6E6E6"/>
            <w:vAlign w:val="center"/>
          </w:tcPr>
          <w:p>
            <w:pPr>
              <w:jc w:val="center"/>
            </w:pPr>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pPr>
            <w:bookmarkStart w:id="95" w:name="采光面积"/>
            <w:r>
              <w:t>2765.31</w:t>
            </w:r>
            <w:bookmarkEnd w:id="95"/>
          </w:p>
        </w:tc>
        <w:tc>
          <w:tcPr>
            <w:tcW w:w="2528" w:type="dxa"/>
            <w:vAlign w:val="center"/>
          </w:tcPr>
          <w:p>
            <w:pPr>
              <w:pStyle w:val="3"/>
              <w:jc w:val="center"/>
            </w:pPr>
            <w:bookmarkStart w:id="96" w:name="平均时数"/>
            <w:r>
              <w:t>97</w:t>
            </w:r>
            <w:bookmarkEnd w:id="96"/>
          </w:p>
        </w:tc>
        <w:tc>
          <w:tcPr>
            <w:tcW w:w="2126" w:type="dxa"/>
            <w:vAlign w:val="center"/>
          </w:tcPr>
          <w:p>
            <w:pPr>
              <w:pStyle w:val="3"/>
              <w:jc w:val="center"/>
            </w:pPr>
            <w:bookmarkStart w:id="97" w:name="动态评价指标要求"/>
            <w:r>
              <w:rPr>
                <w:rFonts w:hint="eastAsia"/>
              </w:rPr>
              <w:t>60</w:t>
            </w:r>
            <w:bookmarkEnd w:id="97"/>
          </w:p>
        </w:tc>
        <w:tc>
          <w:tcPr>
            <w:tcW w:w="1855" w:type="dxa"/>
            <w:vAlign w:val="center"/>
          </w:tcPr>
          <w:p>
            <w:pPr>
              <w:pStyle w:val="3"/>
              <w:jc w:val="center"/>
            </w:pPr>
            <w:bookmarkStart w:id="98" w:name="动态采光得分"/>
            <w:r>
              <w:rPr>
                <w:rFonts w:hint="eastAsia"/>
              </w:rPr>
              <w:t>3</w:t>
            </w:r>
            <w:bookmarkEnd w:id="98"/>
          </w:p>
        </w:tc>
      </w:tr>
    </w:tbl>
    <w:p>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3OWQ2MGVjNDhjZmNkMjVhN2Q1MmYzZTU0NTczMmQifQ=="/>
  </w:docVars>
  <w:rsids>
    <w:rsidRoot w:val="4F4847E9"/>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4F484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autoRedefine/>
    <w:qFormat/>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autoRedefine/>
    <w:qFormat/>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character" w:styleId="26">
    <w:name w:val="FollowedHyperlink"/>
    <w:autoRedefine/>
    <w:qFormat/>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autoRedefine/>
    <w:qFormat/>
    <w:locked/>
    <w:uiPriority w:val="0"/>
    <w:rPr>
      <w:rFonts w:ascii="宋体" w:hAnsi="宋体" w:eastAsia="宋体"/>
      <w:kern w:val="2"/>
      <w:sz w:val="24"/>
      <w:szCs w:val="24"/>
      <w:lang w:val="en-US" w:eastAsia="zh-CN" w:bidi="ar-SA"/>
    </w:rPr>
  </w:style>
  <w:style w:type="character" w:customStyle="1" w:styleId="32">
    <w:name w:val="Char Char21"/>
    <w:autoRedefine/>
    <w:qFormat/>
    <w:uiPriority w:val="0"/>
    <w:rPr>
      <w:rFonts w:ascii="宋体" w:hAnsi="宋体" w:eastAsia="宋体" w:cs="Times New Roman"/>
      <w:sz w:val="24"/>
      <w:szCs w:val="24"/>
    </w:rPr>
  </w:style>
  <w:style w:type="character" w:customStyle="1" w:styleId="33">
    <w:name w:val="页脚 字符"/>
    <w:link w:val="17"/>
    <w:autoRedefine/>
    <w:qFormat/>
    <w:uiPriority w:val="0"/>
    <w:rPr>
      <w:rFonts w:eastAsia="宋体"/>
      <w:sz w:val="18"/>
      <w:szCs w:val="18"/>
      <w:lang w:val="en-GB" w:eastAsia="zh-CN" w:bidi="ar-SA"/>
    </w:rPr>
  </w:style>
  <w:style w:type="character" w:customStyle="1" w:styleId="34">
    <w:name w:val="Char Char1"/>
    <w:autoRedefine/>
    <w:qFormat/>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autoRedefine/>
    <w:qFormat/>
    <w:uiPriority w:val="0"/>
    <w:rPr>
      <w:sz w:val="18"/>
      <w:lang w:val="en-GB"/>
    </w:rPr>
  </w:style>
  <w:style w:type="character" w:customStyle="1" w:styleId="37">
    <w:name w:val="批注主题 字符"/>
    <w:link w:val="21"/>
    <w:autoRedefine/>
    <w:qFormat/>
    <w:uiPriority w:val="0"/>
    <w:rPr>
      <w:b/>
      <w:bCs/>
      <w:sz w:val="18"/>
      <w:lang w:val="en-GB"/>
    </w:rPr>
  </w:style>
  <w:style w:type="character" w:customStyle="1" w:styleId="38">
    <w:name w:val="批注框文本 字符"/>
    <w:link w:val="16"/>
    <w:autoRedefine/>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autoRedefine/>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202\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tmp8.dotx</Template>
  <Pages>11</Pages>
  <Words>3975</Words>
  <Characters>5197</Characters>
  <Lines>33</Lines>
  <Paragraphs>9</Paragraphs>
  <TotalTime>0</TotalTime>
  <ScaleCrop>false</ScaleCrop>
  <LinksUpToDate>false</LinksUpToDate>
  <CharactersWithSpaces>5299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2024-12-23T12:42:00Z</dcterms:created>
  <dc:creator>24202</dc:creator>
  <cp:lastModifiedBy>24202</cp:lastModifiedBy>
  <dcterms:modified xsi:type="dcterms:W3CDTF">2024-12-23T12:42:53Z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14336A92CA054EAD8590983CB04A5619_11</vt:lpwstr>
  </property>
  <property fmtid="{D5CDD505-2E9C-101B-9397-08002B2CF9AE}" pid="3" name="KSOProductBuildVer">
    <vt:lpwstr>2052-12.1.0.16120</vt:lpwstr>
  </property>
</Properties>
</file>