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13567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5.1.4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主要功能房间的室内噪声级和隔声性能应符合下列规定：1室内噪声级应满足现行国家标准《民用建筑隔声设计规范》GB50118中的低限要求；2外墙、隔墙、楼板和门窗的隔声性能应满足现行国家标准《民用建筑隔声设计规范》GB50118中的低限要求。</w:t>
      </w:r>
    </w:p>
    <w:p w14:paraId="58CDF141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4DA2A0AD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349828827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40037153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5384685C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12FF650A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主要功能房间室内噪声值列表：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2667"/>
        <w:gridCol w:w="3154"/>
      </w:tblGrid>
      <w:tr w14:paraId="045E1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364" w:type="pct"/>
            <w:vAlign w:val="center"/>
          </w:tcPr>
          <w:p w14:paraId="4EA55B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主要功能房间名称</w:t>
            </w:r>
          </w:p>
        </w:tc>
        <w:tc>
          <w:tcPr>
            <w:tcW w:w="1666" w:type="pct"/>
            <w:vAlign w:val="center"/>
          </w:tcPr>
          <w:p w14:paraId="7F95A4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室内噪声值（dB）</w:t>
            </w:r>
          </w:p>
        </w:tc>
        <w:tc>
          <w:tcPr>
            <w:tcW w:w="1970" w:type="pct"/>
            <w:vAlign w:val="center"/>
          </w:tcPr>
          <w:p w14:paraId="72D9E44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允许噪声级低限标准（A声级，dB）</w:t>
            </w:r>
          </w:p>
        </w:tc>
      </w:tr>
      <w:tr w14:paraId="7EE59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pct"/>
          </w:tcPr>
          <w:p w14:paraId="3A7BFF35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报告厅</w:t>
            </w:r>
          </w:p>
        </w:tc>
        <w:tc>
          <w:tcPr>
            <w:tcW w:w="1666" w:type="pct"/>
          </w:tcPr>
          <w:p w14:paraId="6C15DAC5"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30</w:t>
            </w:r>
          </w:p>
        </w:tc>
        <w:tc>
          <w:tcPr>
            <w:tcW w:w="1970" w:type="pct"/>
          </w:tcPr>
          <w:p w14:paraId="6AD2BF91"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45</w:t>
            </w:r>
          </w:p>
        </w:tc>
      </w:tr>
      <w:tr w14:paraId="1F43C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pct"/>
          </w:tcPr>
          <w:p w14:paraId="533A6492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餐厅</w:t>
            </w:r>
          </w:p>
        </w:tc>
        <w:tc>
          <w:tcPr>
            <w:tcW w:w="1666" w:type="pct"/>
          </w:tcPr>
          <w:p w14:paraId="26A9CB15">
            <w:pPr>
              <w:jc w:val="center"/>
              <w:rPr>
                <w:rFonts w:hint="default" w:ascii="Times New Roman" w:hAnsi="Times New Roman" w:cs="Times New Roman" w:eastAsiaTheme="minor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  <w:t>22</w:t>
            </w:r>
          </w:p>
        </w:tc>
        <w:tc>
          <w:tcPr>
            <w:tcW w:w="1970" w:type="pct"/>
          </w:tcPr>
          <w:p w14:paraId="6E75F10D"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45</w:t>
            </w:r>
          </w:p>
        </w:tc>
      </w:tr>
      <w:tr w14:paraId="5A34D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pct"/>
          </w:tcPr>
          <w:p w14:paraId="786E46EF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休息室</w:t>
            </w:r>
          </w:p>
        </w:tc>
        <w:tc>
          <w:tcPr>
            <w:tcW w:w="1666" w:type="pct"/>
          </w:tcPr>
          <w:p w14:paraId="6D15EED4">
            <w:pPr>
              <w:jc w:val="center"/>
              <w:rPr>
                <w:rFonts w:hint="default" w:ascii="Times New Roman" w:hAnsi="Times New Roman" w:cs="Times New Roman" w:eastAsiaTheme="minor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  <w:t>12</w:t>
            </w:r>
          </w:p>
        </w:tc>
        <w:tc>
          <w:tcPr>
            <w:tcW w:w="1970" w:type="pct"/>
          </w:tcPr>
          <w:p w14:paraId="350D3F40"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55</w:t>
            </w:r>
          </w:p>
        </w:tc>
      </w:tr>
      <w:tr w14:paraId="79A71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pct"/>
          </w:tcPr>
          <w:p w14:paraId="19B6AF11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展示区</w:t>
            </w:r>
          </w:p>
        </w:tc>
        <w:tc>
          <w:tcPr>
            <w:tcW w:w="1666" w:type="pct"/>
          </w:tcPr>
          <w:p w14:paraId="0CAC0613">
            <w:pPr>
              <w:jc w:val="center"/>
              <w:rPr>
                <w:rFonts w:hint="default" w:ascii="Times New Roman" w:hAnsi="Times New Roman" w:cs="Times New Roman" w:eastAsiaTheme="minor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  <w:t>36</w:t>
            </w:r>
          </w:p>
        </w:tc>
        <w:tc>
          <w:tcPr>
            <w:tcW w:w="1970" w:type="pct"/>
          </w:tcPr>
          <w:p w14:paraId="583D0A58"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55</w:t>
            </w:r>
          </w:p>
        </w:tc>
      </w:tr>
      <w:tr w14:paraId="49ADA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pct"/>
          </w:tcPr>
          <w:p w14:paraId="08997130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66" w:type="pct"/>
          </w:tcPr>
          <w:p w14:paraId="561F9A9B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70" w:type="pct"/>
          </w:tcPr>
          <w:p w14:paraId="5DDB526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0E14D9D4">
      <w:pPr>
        <w:rPr>
          <w:rFonts w:ascii="Times New Roman" w:hAnsi="Times New Roman" w:eastAsia="宋体" w:cs="Times New Roman"/>
          <w:szCs w:val="21"/>
        </w:rPr>
      </w:pPr>
    </w:p>
    <w:tbl>
      <w:tblPr>
        <w:tblStyle w:val="6"/>
        <w:tblW w:w="475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942"/>
        <w:gridCol w:w="1818"/>
        <w:gridCol w:w="1818"/>
        <w:gridCol w:w="1795"/>
      </w:tblGrid>
      <w:tr w14:paraId="16BC1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restart"/>
            <w:vAlign w:val="center"/>
          </w:tcPr>
          <w:p w14:paraId="682890B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空气声隔声性能</w:t>
            </w:r>
          </w:p>
        </w:tc>
        <w:tc>
          <w:tcPr>
            <w:tcW w:w="1197" w:type="pct"/>
            <w:vAlign w:val="center"/>
          </w:tcPr>
          <w:p w14:paraId="77595A69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主要功能房间</w:t>
            </w:r>
          </w:p>
        </w:tc>
        <w:tc>
          <w:tcPr>
            <w:tcW w:w="1121" w:type="pct"/>
            <w:vAlign w:val="center"/>
          </w:tcPr>
          <w:p w14:paraId="4CB5EC5F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构件类型</w:t>
            </w:r>
          </w:p>
        </w:tc>
        <w:tc>
          <w:tcPr>
            <w:tcW w:w="1121" w:type="pct"/>
            <w:vAlign w:val="center"/>
          </w:tcPr>
          <w:p w14:paraId="41BE5CFD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隔声值</w:t>
            </w:r>
            <w:r>
              <w:rPr>
                <w:rFonts w:ascii="Times New Roman" w:hAnsi="Times New Roman" w:cs="Times New Roman"/>
              </w:rPr>
              <w:t>[dB(A)]</w:t>
            </w:r>
          </w:p>
        </w:tc>
        <w:tc>
          <w:tcPr>
            <w:tcW w:w="1106" w:type="pct"/>
            <w:vAlign w:val="center"/>
          </w:tcPr>
          <w:p w14:paraId="073A2BF9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低限标准限值</w:t>
            </w:r>
            <w:r>
              <w:rPr>
                <w:rFonts w:ascii="Times New Roman" w:hAnsi="Times New Roman" w:cs="Times New Roman"/>
              </w:rPr>
              <w:t>[dB(A)]</w:t>
            </w:r>
          </w:p>
        </w:tc>
      </w:tr>
      <w:tr w14:paraId="17FB2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 w14:paraId="4358BC7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 w14:paraId="7790B472"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553206579"/>
                <w:placeholder>
                  <w:docPart w:val="4F4E6B3918B641359E1464AA97E126F3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  <w:lang w:eastAsia="zh-CN"/>
                  </w:rPr>
                  <w:t>办公室</w:t>
                </w: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35611325"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1389767604"/>
                <w:placeholder>
                  <w:docPart w:val="7EAC3BB140AF426B8512D34FD1BFE2AF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  <w:lang w:eastAsia="zh-CN"/>
                  </w:rPr>
                  <w:t>外墙</w:t>
                </w: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72D437F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hint="default" w:ascii="Times New Roman" w:hAnsi="Times New Roman" w:cs="Times New Roman"/>
                  <w:lang w:val="en-US"/>
                </w:rPr>
                <w:id w:val="1116182031"/>
                <w:placeholder>
                  <w:docPart w:val="E8E5D0A1A4534EC4B2B931C3C846BAEA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hint="eastAsia" w:ascii="Times New Roman" w:hAnsi="Times New Roman" w:cs="Times New Roman"/>
                    <w:lang w:val="en-US" w:eastAsia="zh-CN"/>
                  </w:rPr>
                  <w:t>53</w:t>
                </w:r>
              </w:sdtContent>
            </w:sdt>
          </w:p>
        </w:tc>
        <w:tc>
          <w:tcPr>
            <w:tcW w:w="1106" w:type="pct"/>
          </w:tcPr>
          <w:p w14:paraId="3990808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hint="default" w:ascii="Times New Roman" w:hAnsi="Times New Roman" w:cs="Times New Roman"/>
                  <w:lang w:val="en-US"/>
                </w:rPr>
                <w:id w:val="-1024167388"/>
                <w:placeholder>
                  <w:docPart w:val="EDA3FCF40AEF45A99420D70C71C7B88F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hint="eastAsia" w:ascii="Times New Roman" w:hAnsi="Times New Roman" w:cs="Times New Roman"/>
                    <w:lang w:val="en-US" w:eastAsia="zh-CN"/>
                  </w:rPr>
                  <w:t>45</w:t>
                </w:r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 w14:paraId="7F10B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 w14:paraId="5F7B2A3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 w14:paraId="44A039EA"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451835807"/>
                <w:placeholder>
                  <w:docPart w:val="E337542ACFD84E328688800DB5329AC0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  <w:r>
                  <w:rPr>
                    <w:rStyle w:val="14"/>
                    <w:rFonts w:hint="eastAsia" w:asciiTheme="minorEastAsia" w:hAnsiTheme="minorEastAsia"/>
                    <w:lang w:eastAsia="zh-CN"/>
                  </w:rPr>
                  <w:t>餐厅</w:t>
                </w:r>
              </w:sdtContent>
            </w:sdt>
          </w:p>
        </w:tc>
        <w:tc>
          <w:tcPr>
            <w:tcW w:w="1121" w:type="pct"/>
          </w:tcPr>
          <w:p w14:paraId="53995877"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1116031553"/>
                <w:placeholder>
                  <w:docPart w:val="C06F576C1AD548108CBA7A6E47D32486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  <w:lang w:eastAsia="zh-CN"/>
                  </w:rPr>
                  <w:t>隔墙</w:t>
                </w:r>
              </w:sdtContent>
            </w:sdt>
          </w:p>
        </w:tc>
        <w:tc>
          <w:tcPr>
            <w:tcW w:w="1121" w:type="pct"/>
          </w:tcPr>
          <w:p w14:paraId="3BA9437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1412001807"/>
                <w:placeholder>
                  <w:docPart w:val="DB9281DA8DEA43EF8649826D0D85163E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hint="eastAsia" w:ascii="Times New Roman" w:hAnsi="Times New Roman" w:cs="Times New Roman"/>
                    <w:lang w:val="en-US" w:eastAsia="zh-CN"/>
                  </w:rPr>
                  <w:t>56</w:t>
                </w:r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 w14:paraId="409CD41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523063354"/>
                <w:placeholder>
                  <w:docPart w:val="625F4D2C1B964023B1395E2FABFA69F4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</w:t>
                </w:r>
                <w:r>
                  <w:rPr>
                    <w:rStyle w:val="14"/>
                    <w:rFonts w:hint="eastAsia" w:ascii="Times New Roman" w:hAnsi="Times New Roman" w:cs="Times New Roman"/>
                    <w:lang w:val="en-US" w:eastAsia="zh-CN"/>
                  </w:rPr>
                  <w:t>50</w:t>
                </w:r>
                <w:r>
                  <w:rPr>
                    <w:rStyle w:val="14"/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</w:tr>
      <w:tr w14:paraId="69903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 w14:paraId="0C91A89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 w14:paraId="6B6FFB9A"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-1882787854"/>
                <w:placeholder>
                  <w:docPart w:val="F4FC6295C74C445AA18F444B0D6CE25F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1CF1D8E4"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776981551"/>
                <w:placeholder>
                  <w:docPart w:val="D8545B6C031E4A358C1E5B2CDE3BB0EF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7E065C8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1507969228"/>
                <w:placeholder>
                  <w:docPart w:val="E6A7D7191B924DCB964CECA6DFE91427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 w14:paraId="782EF61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2082122546"/>
                <w:placeholder>
                  <w:docPart w:val="2466E38441224BECB6FBA9B0E14FDA46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 w14:paraId="40378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 w14:paraId="3A59DAB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 w14:paraId="67ACDE81"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-238475137"/>
                <w:placeholder>
                  <w:docPart w:val="42615A2AD18B409688B268A52CD1B778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4030DCC0"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2038617704"/>
                <w:placeholder>
                  <w:docPart w:val="3C8FEF34B2B94B349F5017105662CA26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702C16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2037770588"/>
                <w:placeholder>
                  <w:docPart w:val="16A2A052900C4755B132284C78EF81B4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 w14:paraId="6288262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1573572747"/>
                <w:placeholder>
                  <w:docPart w:val="848579C593D3446F8C913EBB8C4370F1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 w14:paraId="119E2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restart"/>
            <w:vAlign w:val="center"/>
          </w:tcPr>
          <w:p w14:paraId="79C2164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</w:rPr>
              <w:t>楼板撞击声性能</w:t>
            </w:r>
          </w:p>
        </w:tc>
        <w:tc>
          <w:tcPr>
            <w:tcW w:w="1197" w:type="pct"/>
            <w:vAlign w:val="center"/>
          </w:tcPr>
          <w:p w14:paraId="58FA57B2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主要功能房间</w:t>
            </w:r>
          </w:p>
        </w:tc>
        <w:tc>
          <w:tcPr>
            <w:tcW w:w="1121" w:type="pct"/>
            <w:vAlign w:val="center"/>
          </w:tcPr>
          <w:p w14:paraId="0AD06D0A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楼板部位</w:t>
            </w:r>
          </w:p>
        </w:tc>
        <w:tc>
          <w:tcPr>
            <w:tcW w:w="1121" w:type="pct"/>
            <w:vAlign w:val="center"/>
          </w:tcPr>
          <w:p w14:paraId="55E1704E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撞击声隔声值</w:t>
            </w:r>
            <w:r>
              <w:rPr>
                <w:rFonts w:ascii="Times New Roman" w:hAnsi="Times New Roman" w:cs="Times New Roman"/>
              </w:rPr>
              <w:t>[dB(A)]</w:t>
            </w:r>
          </w:p>
        </w:tc>
        <w:tc>
          <w:tcPr>
            <w:tcW w:w="1106" w:type="pct"/>
            <w:vAlign w:val="center"/>
          </w:tcPr>
          <w:p w14:paraId="787DCFB0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低限标准限值</w:t>
            </w:r>
            <w:r>
              <w:rPr>
                <w:rFonts w:ascii="Times New Roman" w:hAnsi="Times New Roman" w:cs="Times New Roman"/>
              </w:rPr>
              <w:t>[dB(A)]</w:t>
            </w:r>
          </w:p>
        </w:tc>
      </w:tr>
      <w:tr w14:paraId="0720E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 w14:paraId="482C72C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 w14:paraId="20261A00"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1680159297"/>
                <w:placeholder>
                  <w:docPart w:val="5CB52020CDF4425784430EDA98DE8E53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</w:t>
                </w:r>
                <w:r>
                  <w:rPr>
                    <w:rStyle w:val="14"/>
                    <w:rFonts w:hint="eastAsia" w:asciiTheme="minorEastAsia" w:hAnsiTheme="minorEastAsia"/>
                    <w:lang w:eastAsia="zh-CN"/>
                  </w:rPr>
                  <w:t>办公室</w:t>
                </w:r>
                <w:r>
                  <w:rPr>
                    <w:rStyle w:val="14"/>
                    <w:rFonts w:hint="eastAsia" w:asciiTheme="minorEastAsia" w:hAnsiTheme="minorEastAsia"/>
                  </w:rPr>
                  <w:t xml:space="preserve"> </w:t>
                </w:r>
              </w:sdtContent>
            </w:sdt>
          </w:p>
        </w:tc>
        <w:tc>
          <w:tcPr>
            <w:tcW w:w="1121" w:type="pct"/>
          </w:tcPr>
          <w:p w14:paraId="370C7B77"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445359042"/>
                <w:placeholder>
                  <w:docPart w:val="8320BE3397234C98A965A1E687E26600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  <w:lang w:eastAsia="zh-CN"/>
                  </w:rPr>
                  <w:t>楼板</w:t>
                </w: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6AC6D04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1250165799"/>
                <w:placeholder>
                  <w:docPart w:val="773570C953494AC29625596EBE4F91EA"/>
                </w:placeholder>
                <w:text/>
              </w:sdtPr>
              <w:sdtEndPr>
                <w:rPr>
                  <w:rStyle w:val="14"/>
                  <w:rFonts w:hint="default" w:ascii="Times New Roman" w:hAnsi="Times New Roman" w:cs="Times New Roman"/>
                  <w:lang w:val="en-US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</w:t>
                </w:r>
                <w:r>
                  <w:rPr>
                    <w:rStyle w:val="14"/>
                    <w:rFonts w:hint="eastAsia" w:ascii="Times New Roman" w:hAnsi="Times New Roman" w:cs="Times New Roman"/>
                    <w:lang w:val="en-US" w:eastAsia="zh-CN"/>
                  </w:rPr>
                  <w:t>65</w:t>
                </w:r>
                <w:bookmarkStart w:id="0" w:name="_GoBack"/>
                <w:bookmarkEnd w:id="0"/>
              </w:sdtContent>
            </w:sdt>
          </w:p>
        </w:tc>
        <w:tc>
          <w:tcPr>
            <w:tcW w:w="1106" w:type="pct"/>
          </w:tcPr>
          <w:p w14:paraId="2ABC933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24292158"/>
                <w:placeholder>
                  <w:docPart w:val="241E55F52606476E8ACBDBC1FDD4B420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  <w:r>
                  <w:rPr>
                    <w:rStyle w:val="14"/>
                    <w:rFonts w:hint="eastAsia" w:ascii="Times New Roman" w:hAnsi="Times New Roman" w:cs="Times New Roman"/>
                    <w:lang w:val="en-US" w:eastAsia="zh-CN"/>
                  </w:rPr>
                  <w:t>65</w:t>
                </w:r>
              </w:sdtContent>
            </w:sdt>
          </w:p>
        </w:tc>
      </w:tr>
      <w:tr w14:paraId="2A7AD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 w14:paraId="0B85427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 w14:paraId="2B6AAED2"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-1980599454"/>
                <w:placeholder>
                  <w:docPart w:val="94959F271959431BA7E66DFE231CA763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11DC902D"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97296056"/>
                <w:placeholder>
                  <w:docPart w:val="87EE39BC880C425A9E393EF1AA3B41B1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26DF12A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2103381055"/>
                <w:placeholder>
                  <w:docPart w:val="C1FA7373C0FE464082B01173F6737E3D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 w14:paraId="33AD6D9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916747305"/>
                <w:placeholder>
                  <w:docPart w:val="99265CA9380B4533ABE22457E21CFA13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 w14:paraId="46B56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 w14:paraId="69B0EFB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 w14:paraId="206D2560"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-325051673"/>
                <w:placeholder>
                  <w:docPart w:val="ABBB5155DB9249599171A7DCB724AD23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14DB085D"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-658770830"/>
                <w:placeholder>
                  <w:docPart w:val="3B16F2609E7B4273A886E0802558BD73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14C7F11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449016550"/>
                <w:placeholder>
                  <w:docPart w:val="212B23210D144F619031953125968513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 w14:paraId="0DA7449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662469859"/>
                <w:placeholder>
                  <w:docPart w:val="626C56BFD4944818A7142B68CE86CF25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 w14:paraId="700CB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</w:tcPr>
          <w:p w14:paraId="0D262A64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 w14:paraId="580F38D6"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2139521845"/>
                <w:placeholder>
                  <w:docPart w:val="776F338D73FE4412A79F3A58F4919B55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4390B187"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515974474"/>
                <w:placeholder>
                  <w:docPart w:val="DF55C0AF10764AB79374B64CA54B7DA4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7BEC9CF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1308391765"/>
                <w:placeholder>
                  <w:docPart w:val="5E8902EF3E494584B22E03509F67626A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 w14:paraId="368D72E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777707394"/>
                <w:placeholder>
                  <w:docPart w:val="B0E53F38E948476B91966F1AC21FF76F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</w:tbl>
    <w:p w14:paraId="3C565BB4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</w:rPr>
        <w:t>请简要说明建筑围护结构</w:t>
      </w:r>
      <w:r>
        <w:rPr>
          <w:rFonts w:hint="eastAsia" w:ascii="Times New Roman" w:hAnsi="Times New Roman" w:cs="Times New Roman"/>
        </w:rPr>
        <w:t>的</w:t>
      </w:r>
      <w:r>
        <w:rPr>
          <w:rFonts w:ascii="Times New Roman" w:hAnsi="Times New Roman" w:cs="Times New Roman"/>
        </w:rPr>
        <w:t>隔声措施</w:t>
      </w:r>
      <w:r>
        <w:rPr>
          <w:rFonts w:hint="eastAsia" w:ascii="Times New Roman" w:hAnsi="Times New Roman" w:cs="Times New Roman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44C9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38A81F7B"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围护结构降噪措施：内墙为200厚钢筋混凝土墙。楼板为100厚钢筋混凝土板、豆石混凝土、面层。室外噪声的降噪措施主要依靠外墙和外门窗的隔断。外墙采用200厚钢筋混凝土墙，外门窗为断桥铝框，玻璃采用5+12A+5 +12A+5，很好的阻断室外噪声的传播。车辆进出禁止鸣笛、减速慢行。为提高楼板撞击声隔声性能楼板增加挤塑聚苯板。</w:t>
            </w:r>
          </w:p>
        </w:tc>
      </w:tr>
    </w:tbl>
    <w:p w14:paraId="5EDFBF97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0517B9BC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0C8FA13E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建筑竣工图</w:t>
      </w:r>
      <w:r>
        <w:rPr>
          <w:rFonts w:hint="eastAsia" w:ascii="Times New Roman" w:hAnsi="Times New Roman" w:eastAsia="宋体" w:cs="Times New Roman"/>
          <w:szCs w:val="21"/>
        </w:rPr>
        <w:t>，应包含建筑围护结构的构造说明、施工大样；</w:t>
      </w:r>
    </w:p>
    <w:p w14:paraId="4AC6C256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噪声分析报告、室内噪声级检测报告</w:t>
      </w:r>
      <w:r>
        <w:rPr>
          <w:rFonts w:hint="eastAsia" w:ascii="Times New Roman" w:hAnsi="Times New Roman" w:eastAsia="宋体" w:cs="Times New Roman"/>
          <w:szCs w:val="21"/>
        </w:rPr>
        <w:t>（典型时间、主要功能房间）</w:t>
      </w:r>
    </w:p>
    <w:p w14:paraId="45DEB411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）主要</w:t>
      </w:r>
      <w:r>
        <w:rPr>
          <w:rFonts w:ascii="Times New Roman" w:hAnsi="Times New Roman" w:eastAsia="宋体" w:cs="Times New Roman"/>
          <w:szCs w:val="21"/>
        </w:rPr>
        <w:t>构件隔声性能</w:t>
      </w:r>
      <w:r>
        <w:rPr>
          <w:rFonts w:hint="eastAsia" w:ascii="Times New Roman" w:hAnsi="Times New Roman" w:eastAsia="宋体" w:cs="Times New Roman"/>
          <w:szCs w:val="21"/>
        </w:rPr>
        <w:t>检测</w:t>
      </w:r>
      <w:r>
        <w:rPr>
          <w:rFonts w:ascii="Times New Roman" w:hAnsi="Times New Roman" w:eastAsia="宋体" w:cs="Times New Roman"/>
          <w:szCs w:val="21"/>
        </w:rPr>
        <w:t>报告</w:t>
      </w:r>
      <w:r>
        <w:rPr>
          <w:rFonts w:hint="eastAsia" w:ascii="Times New Roman" w:hAnsi="Times New Roman" w:eastAsia="宋体" w:cs="Times New Roman"/>
          <w:szCs w:val="21"/>
        </w:rPr>
        <w:t>或</w:t>
      </w:r>
      <w:r>
        <w:rPr>
          <w:rFonts w:ascii="Times New Roman" w:hAnsi="Times New Roman" w:eastAsia="宋体" w:cs="Times New Roman"/>
          <w:szCs w:val="21"/>
        </w:rPr>
        <w:t>主要构件隔声性能的实验室检测报告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 w14:paraId="699531D4">
      <w:pPr>
        <w:rPr>
          <w:rFonts w:ascii="Times New Roman" w:hAnsi="Times New Roman" w:eastAsia="宋体" w:cs="Times New Roman"/>
          <w:szCs w:val="21"/>
        </w:rPr>
      </w:pPr>
    </w:p>
    <w:p w14:paraId="1033C470"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654A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6407542B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0C9CF0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A1B"/>
    <w:rsid w:val="00027938"/>
    <w:rsid w:val="00074A38"/>
    <w:rsid w:val="0028688C"/>
    <w:rsid w:val="004E1873"/>
    <w:rsid w:val="00525100"/>
    <w:rsid w:val="0069460D"/>
    <w:rsid w:val="00923769"/>
    <w:rsid w:val="009E722D"/>
    <w:rsid w:val="00DF2A1B"/>
    <w:rsid w:val="00EA4ACA"/>
    <w:rsid w:val="2E78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4F4E6B3918B641359E1464AA97E126F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935BA9A-B4E2-47F1-8429-70861C24A38F}"/>
      </w:docPartPr>
      <w:docPartBody>
        <w:p w14:paraId="5C69D436"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EAC3BB140AF426B8512D34FD1BFE2A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50F4061-0519-4F98-8664-A2D58ED8C7A1}"/>
      </w:docPartPr>
      <w:docPartBody>
        <w:p w14:paraId="438ABD9D"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8E5D0A1A4534EC4B2B931C3C846BAE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BD91D32-8926-4F4E-87CD-E2B373F80DE0}"/>
      </w:docPartPr>
      <w:docPartBody>
        <w:p w14:paraId="22A4AB7F"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DA3FCF40AEF45A99420D70C71C7B88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7B4C57-63BC-4C5B-9138-2582025959AA}"/>
      </w:docPartPr>
      <w:docPartBody>
        <w:p w14:paraId="476D8CE4"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337542ACFD84E328688800DB5329AC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65EA2E-CC4F-42DB-A59A-FE5160495702}"/>
      </w:docPartPr>
      <w:docPartBody>
        <w:p w14:paraId="03110F6F"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06F576C1AD548108CBA7A6E47D3248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C1C366B-0991-4B27-AF74-52D33F16387B}"/>
      </w:docPartPr>
      <w:docPartBody>
        <w:p w14:paraId="5DC3BF3C"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B9281DA8DEA43EF8649826D0D85163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C4E10B-A0E5-4B89-9248-769CA8E5D18B}"/>
      </w:docPartPr>
      <w:docPartBody>
        <w:p w14:paraId="347D693A"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5F4D2C1B964023B1395E2FABFA69F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AF99B10-0749-4907-BBB0-45B0578B70A6}"/>
      </w:docPartPr>
      <w:docPartBody>
        <w:p w14:paraId="7E2E6076"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4FC6295C74C445AA18F444B0D6CE25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8CD9AD-8A56-47E8-BF97-37BF71E0FE24}"/>
      </w:docPartPr>
      <w:docPartBody>
        <w:p w14:paraId="2CA714F9"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8545B6C031E4A358C1E5B2CDE3BB0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5D48DE-B22F-4ED3-AA12-07F88FD05615}"/>
      </w:docPartPr>
      <w:docPartBody>
        <w:p w14:paraId="6C79EEF6"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6A7D7191B924DCB964CECA6DFE9142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E0D0F0B-D147-490B-ADEC-CF2092707BDC}"/>
      </w:docPartPr>
      <w:docPartBody>
        <w:p w14:paraId="66C2759C"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466E38441224BECB6FBA9B0E14FDA4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6DFF8C-A381-4263-91B1-65F8DF2FE4A9}"/>
      </w:docPartPr>
      <w:docPartBody>
        <w:p w14:paraId="7D8861FF"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2615A2AD18B409688B268A52CD1B77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81D944-E6FA-430D-B785-AE02E6F88BD9}"/>
      </w:docPartPr>
      <w:docPartBody>
        <w:p w14:paraId="3756890F"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C8FEF34B2B94B349F5017105662CA2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F46BF5-933D-4B04-9CCA-350D8A2F5190}"/>
      </w:docPartPr>
      <w:docPartBody>
        <w:p w14:paraId="099B29B4"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6A2A052900C4755B132284C78EF81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FD86C3B-7616-4FAF-A6C5-6634706CA342}"/>
      </w:docPartPr>
      <w:docPartBody>
        <w:p w14:paraId="72E305DC"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48579C593D3446F8C913EBB8C4370F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DD8DCAD-12F5-4074-8BDA-2AE3BC9D82D5}"/>
      </w:docPartPr>
      <w:docPartBody>
        <w:p w14:paraId="16C826C5"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CB52020CDF4425784430EDA98DE8E5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949C35-8863-40E5-9914-24C78A52186C}"/>
      </w:docPartPr>
      <w:docPartBody>
        <w:p w14:paraId="27455D76"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320BE3397234C98A965A1E687E266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E53CEB-21EB-4B85-9E54-19649F1AD27F}"/>
      </w:docPartPr>
      <w:docPartBody>
        <w:p w14:paraId="2160385A"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73570C953494AC29625596EBE4F91E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384AB1-62EA-4043-BD76-3D38D2BEBB06}"/>
      </w:docPartPr>
      <w:docPartBody>
        <w:p w14:paraId="23EC8F43"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41E55F52606476E8ACBDBC1FDD4B42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85CDE4A-B13F-4B97-B66C-BD60AE143321}"/>
      </w:docPartPr>
      <w:docPartBody>
        <w:p w14:paraId="52F9FCC2"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4959F271959431BA7E66DFE231CA76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393A0C3-11D6-45CA-833E-FB42638A8EFD}"/>
      </w:docPartPr>
      <w:docPartBody>
        <w:p w14:paraId="17F54C7E"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EE39BC880C425A9E393EF1AA3B41B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849D3F-CD11-428D-B787-069E86C3D9C1}"/>
      </w:docPartPr>
      <w:docPartBody>
        <w:p w14:paraId="7DEDD592"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FA7373C0FE464082B01173F6737E3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AED6BB2-5D93-4AFA-917A-8C26B51ED72F}"/>
      </w:docPartPr>
      <w:docPartBody>
        <w:p w14:paraId="54AA1055"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9265CA9380B4533ABE22457E21CFA1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D3CE3A-B408-42E1-8782-A8225AF6F983}"/>
      </w:docPartPr>
      <w:docPartBody>
        <w:p w14:paraId="649A1C1D"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BBB5155DB9249599171A7DCB724AD2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0C5EDF-4049-4E11-B375-D9C56F7E3510}"/>
      </w:docPartPr>
      <w:docPartBody>
        <w:p w14:paraId="30676608"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16F2609E7B4273A886E0802558BD7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E234DC9-3CA4-43C1-840F-01C698FDDD4B}"/>
      </w:docPartPr>
      <w:docPartBody>
        <w:p w14:paraId="4F2DBF7A"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12B23210D144F61903195312596851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BA6711-5DA0-46DE-BE64-6DB459CE82C3}"/>
      </w:docPartPr>
      <w:docPartBody>
        <w:p w14:paraId="5062AD38"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6C56BFD4944818A7142B68CE86CF2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34D3B6-90FD-4704-B9F9-276D618030EC}"/>
      </w:docPartPr>
      <w:docPartBody>
        <w:p w14:paraId="09FE4C58"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76F338D73FE4412A79F3A58F4919B5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661223-8731-433D-A908-471F5301CA5C}"/>
      </w:docPartPr>
      <w:docPartBody>
        <w:p w14:paraId="51CE0575"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55C0AF10764AB79374B64CA54B7D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69DA18-DB55-4F0D-95E3-3891C2FC76E5}"/>
      </w:docPartPr>
      <w:docPartBody>
        <w:p w14:paraId="063B78A8"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8902EF3E494584B22E03509F67626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C00F63-D7F9-4581-8C7A-807CDE6B61BD}"/>
      </w:docPartPr>
      <w:docPartBody>
        <w:p w14:paraId="6340DE38"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0E53F38E948476B91966F1AC21FF7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3EF08C8-08B7-42EE-AE39-A300D92166B9}"/>
      </w:docPartPr>
      <w:docPartBody>
        <w:p w14:paraId="32529678">
          <w:pPr>
            <w:pStyle w:val="5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9FF"/>
    <w:rsid w:val="004729FF"/>
    <w:rsid w:val="006433E6"/>
    <w:rsid w:val="008B1865"/>
    <w:rsid w:val="0092726B"/>
    <w:rsid w:val="00BD1CBE"/>
    <w:rsid w:val="00E6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F044FA38A873404089DFFFBC13349E2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E3F2E284212F4D1F87DAD4DCAE5A35E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A398FA57A4CC47088F7C24F4FBE7048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F2E995DE44894914BC0E56B7F2656A8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8D341DFD879241A690D01224D99EED7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8E32E097E6BE45A88B665DEA3C3B997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AAEE18C9065740B8A5567012505118B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8B3A6DA068D748E2B5000BB072A8F89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C309ACDDA3EB4C45B7843A59CAEFE65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EAEE2928B2F74674B72358F87E76F7F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4815F13573FF41F1B70746F93F58DE1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87995638C4A24664B58998D1CEF4AF5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6A73D166DFE44065ABFC426C098BE4B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EE27A28DCC4341A487619B81A1AB031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F3B56EA2A1AC45E6957B3E970B479E5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4F4E6B3918B641359E1464AA97E126F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7EAC3BB140AF426B8512D34FD1BFE2A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E8E5D0A1A4534EC4B2B931C3C846BAE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EDA3FCF40AEF45A99420D70C71C7B88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E337542ACFD84E328688800DB5329AC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C06F576C1AD548108CBA7A6E47D3248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DB9281DA8DEA43EF8649826D0D85163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625F4D2C1B964023B1395E2FABFA69F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F4FC6295C74C445AA18F444B0D6CE25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D8545B6C031E4A358C1E5B2CDE3BB0E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E6A7D7191B924DCB964CECA6DFE9142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2466E38441224BECB6FBA9B0E14FDA4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42615A2AD18B409688B268A52CD1B77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3C8FEF34B2B94B349F5017105662CA2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16A2A052900C4755B132284C78EF81B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848579C593D3446F8C913EBB8C4370F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5CB52020CDF4425784430EDA98DE8E5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8320BE3397234C98A965A1E687E2660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773570C953494AC29625596EBE4F91E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241E55F52606476E8ACBDBC1FDD4B42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94959F271959431BA7E66DFE231CA76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87EE39BC880C425A9E393EF1AA3B41B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C1FA7373C0FE464082B01173F6737E3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99265CA9380B4533ABE22457E21CFA1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ABBB5155DB9249599171A7DCB724AD2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3B16F2609E7B4273A886E0802558BD7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212B23210D144F61903195312596851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626C56BFD4944818A7142B68CE86CF2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776F338D73FE4412A79F3A58F4919B5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DF55C0AF10764AB79374B64CA54B7DA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5E8902EF3E494584B22E03509F67626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B0E53F38E948476B91966F1AC21FF76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71103B411917486BAEC48FC144B6981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738D889B81EF4ADC9649DD6151110CF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501</Words>
  <Characters>560</Characters>
  <Lines>5</Lines>
  <Paragraphs>1</Paragraphs>
  <TotalTime>8</TotalTime>
  <ScaleCrop>false</ScaleCrop>
  <LinksUpToDate>false</LinksUpToDate>
  <CharactersWithSpaces>629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2019-07-12T07:49:00Z</dcterms:created>
  <dc:creator>dongYP</dc:creator>
  <cp:lastModifiedBy>Lenovo</cp:lastModifiedBy>
  <dcterms:modified xsi:type="dcterms:W3CDTF">2025-03-13T08:44:36Z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eyJoZGlkIjoiNDFhY2Y3Y2E2YzdlNDU3NjQ0ZTI3MjMwZDk0OTFhYjgifQ==</vt:lpwstr>
  </property>
  <property fmtid="{D5CDD505-2E9C-101B-9397-08002B2CF9AE}" pid="3" name="KSOProductBuildVer">
    <vt:lpwstr>2052-12.1.0.20305</vt:lpwstr>
  </property>
  <property fmtid="{D5CDD505-2E9C-101B-9397-08002B2CF9AE}" pid="4" name="ICV">
    <vt:lpwstr>6459147A2E424DA9B24CF01560F2D977_13</vt:lpwstr>
  </property>
</Properties>
</file>