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8B52EB"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7.2.6 采取有效措施降低供暖空调系统的末端系统及输配系统的能耗。（</w:t>
      </w:r>
      <w:r>
        <w:rPr>
          <w:sz w:val="24"/>
          <w:szCs w:val="40"/>
        </w:rPr>
        <w:t>5</w:t>
      </w:r>
      <w:r>
        <w:rPr>
          <w:rFonts w:hint="eastAsia"/>
          <w:sz w:val="24"/>
          <w:szCs w:val="40"/>
        </w:rPr>
        <w:t>分）</w:t>
      </w:r>
    </w:p>
    <w:p w14:paraId="63D6EEC7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79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4394"/>
        <w:gridCol w:w="1559"/>
        <w:gridCol w:w="1300"/>
      </w:tblGrid>
      <w:tr w14:paraId="13DB0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733" w:type="dxa"/>
            <w:vAlign w:val="center"/>
          </w:tcPr>
          <w:p w14:paraId="5A925F0E">
            <w:pPr>
              <w:pStyle w:val="14"/>
              <w:ind w:firstLine="0" w:firstLineChars="0"/>
              <w:jc w:val="center"/>
            </w:pPr>
            <w:r>
              <w:rPr>
                <w:szCs w:val="21"/>
              </w:rPr>
              <w:t>序号</w:t>
            </w:r>
          </w:p>
        </w:tc>
        <w:tc>
          <w:tcPr>
            <w:tcW w:w="4394" w:type="dxa"/>
            <w:vAlign w:val="center"/>
          </w:tcPr>
          <w:p w14:paraId="2D98E405">
            <w:pPr>
              <w:pStyle w:val="14"/>
              <w:ind w:firstLine="0" w:firstLineChars="0"/>
              <w:jc w:val="center"/>
            </w:pPr>
            <w:r>
              <w:rPr>
                <w:szCs w:val="21"/>
              </w:rPr>
              <w:t>评价内容</w:t>
            </w:r>
          </w:p>
        </w:tc>
        <w:tc>
          <w:tcPr>
            <w:tcW w:w="1559" w:type="dxa"/>
            <w:vAlign w:val="center"/>
          </w:tcPr>
          <w:p w14:paraId="556F5808">
            <w:pPr>
              <w:pStyle w:val="14"/>
              <w:ind w:firstLine="0" w:firstLineChars="0"/>
              <w:jc w:val="center"/>
            </w:pPr>
            <w:r>
              <w:rPr>
                <w:szCs w:val="21"/>
              </w:rPr>
              <w:t>评价分值</w:t>
            </w:r>
          </w:p>
        </w:tc>
        <w:tc>
          <w:tcPr>
            <w:tcW w:w="1300" w:type="dxa"/>
            <w:vAlign w:val="center"/>
          </w:tcPr>
          <w:p w14:paraId="788A83FD">
            <w:pPr>
              <w:pStyle w:val="14"/>
              <w:ind w:firstLine="0" w:firstLineChars="0"/>
              <w:jc w:val="center"/>
            </w:pPr>
            <w:r>
              <w:rPr>
                <w:szCs w:val="21"/>
              </w:rPr>
              <w:t>自评得分</w:t>
            </w:r>
          </w:p>
        </w:tc>
      </w:tr>
      <w:tr w14:paraId="6F059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733" w:type="dxa"/>
            <w:vMerge w:val="restart"/>
            <w:vAlign w:val="center"/>
          </w:tcPr>
          <w:p w14:paraId="0AEC47F5">
            <w:pPr>
              <w:pStyle w:val="14"/>
              <w:ind w:firstLine="0" w:firstLineChars="0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394" w:type="dxa"/>
            <w:vAlign w:val="center"/>
          </w:tcPr>
          <w:p w14:paraId="0F92F888">
            <w:pPr>
              <w:pStyle w:val="14"/>
              <w:ind w:firstLine="0" w:firstLineChars="0"/>
              <w:jc w:val="left"/>
            </w:pPr>
            <w:r>
              <w:rPr>
                <w:rFonts w:hint="eastAsia"/>
              </w:rPr>
              <w:t>通风空调系统</w:t>
            </w:r>
            <w:r>
              <w:t>风机的单位风量耗功率比现行国家标准《</w:t>
            </w:r>
            <w:r>
              <w:rPr>
                <w:rFonts w:hint="eastAsia"/>
              </w:rPr>
              <w:t>公共</w:t>
            </w:r>
            <w:r>
              <w:t>建筑节能设计标准》</w:t>
            </w:r>
            <w:r>
              <w:rPr>
                <w:rFonts w:hint="eastAsia"/>
              </w:rPr>
              <w:t>GB50189的</w:t>
            </w:r>
            <w:r>
              <w:t>规定低</w:t>
            </w:r>
            <w:r>
              <w:rPr>
                <w:rFonts w:hint="eastAsia"/>
              </w:rPr>
              <w:t>20</w:t>
            </w:r>
            <w:r>
              <w:t>%</w:t>
            </w:r>
          </w:p>
        </w:tc>
        <w:tc>
          <w:tcPr>
            <w:tcW w:w="1559" w:type="dxa"/>
            <w:vMerge w:val="restart"/>
            <w:vAlign w:val="center"/>
          </w:tcPr>
          <w:p w14:paraId="3DEDE8D4">
            <w:pPr>
              <w:pStyle w:val="14"/>
              <w:ind w:firstLine="0" w:firstLineChars="0"/>
              <w:jc w:val="center"/>
            </w:pPr>
            <w:r>
              <w:rPr>
                <w:rFonts w:hint="eastAsia"/>
              </w:rPr>
              <w:t>2</w:t>
            </w:r>
          </w:p>
        </w:tc>
        <w:sdt>
          <w:sdtPr>
            <w:rPr>
              <w:rFonts w:hint="eastAsia"/>
              <w:szCs w:val="21"/>
            </w:rPr>
            <w:id w:val="-1078594882"/>
            <w:placeholder>
              <w:docPart w:val="156C56E31A224E9CAA0891AC68BCD5AF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300" w:type="dxa"/>
                <w:vAlign w:val="center"/>
              </w:tcPr>
              <w:p w14:paraId="0351A7E8">
                <w:pPr>
                  <w:pStyle w:val="14"/>
                  <w:ind w:firstLine="0" w:firstLineChars="0"/>
                  <w:jc w:val="center"/>
                </w:pPr>
                <w:r>
                  <w:rPr>
                    <w:rFonts w:hint="eastAsia"/>
                    <w:szCs w:val="21"/>
                  </w:rPr>
                  <w:t xml:space="preserve"> </w:t>
                </w:r>
                <w:r>
                  <w:rPr>
                    <w:rFonts w:hint="eastAsia"/>
                    <w:szCs w:val="21"/>
                    <w:lang w:val="en-US" w:eastAsia="zh-CN"/>
                  </w:rPr>
                  <w:t>2</w:t>
                </w:r>
                <w:r>
                  <w:rPr>
                    <w:rFonts w:hint="eastAsia"/>
                    <w:szCs w:val="21"/>
                  </w:rPr>
                  <w:t xml:space="preserve"> </w:t>
                </w:r>
              </w:p>
            </w:tc>
          </w:sdtContent>
        </w:sdt>
      </w:tr>
      <w:tr w14:paraId="02D89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33" w:type="dxa"/>
            <w:vMerge w:val="continue"/>
            <w:vAlign w:val="center"/>
          </w:tcPr>
          <w:p w14:paraId="0ECD38BC">
            <w:pPr>
              <w:pStyle w:val="14"/>
              <w:ind w:firstLine="0" w:firstLineChars="0"/>
              <w:jc w:val="center"/>
            </w:pPr>
          </w:p>
        </w:tc>
        <w:tc>
          <w:tcPr>
            <w:tcW w:w="4394" w:type="dxa"/>
            <w:vAlign w:val="center"/>
          </w:tcPr>
          <w:p w14:paraId="447F8360">
            <w:pPr>
              <w:pStyle w:val="14"/>
              <w:ind w:firstLine="0" w:firstLineChars="0"/>
              <w:jc w:val="left"/>
            </w:pPr>
            <w:r>
              <w:rPr>
                <w:rFonts w:hint="eastAsia"/>
              </w:rPr>
              <w:t>采用分体空调和多联机空调（热泵）机组</w:t>
            </w:r>
          </w:p>
        </w:tc>
        <w:tc>
          <w:tcPr>
            <w:tcW w:w="1559" w:type="dxa"/>
            <w:vMerge w:val="continue"/>
            <w:vAlign w:val="center"/>
          </w:tcPr>
          <w:p w14:paraId="1B23A68B">
            <w:pPr>
              <w:pStyle w:val="14"/>
              <w:ind w:firstLine="0" w:firstLineChars="0"/>
              <w:jc w:val="center"/>
            </w:pPr>
          </w:p>
        </w:tc>
        <w:sdt>
          <w:sdtPr>
            <w:rPr>
              <w:rFonts w:hint="eastAsia"/>
              <w:szCs w:val="21"/>
            </w:rPr>
            <w:id w:val="-1240942551"/>
            <w:placeholder>
              <w:docPart w:val="346CA8C201094401BD2D9D34E8EBB827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300" w:type="dxa"/>
                <w:vAlign w:val="center"/>
              </w:tcPr>
              <w:p w14:paraId="5966A88B">
                <w:pPr>
                  <w:pStyle w:val="14"/>
                  <w:ind w:firstLine="0" w:firstLineChars="0"/>
                  <w:jc w:val="center"/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 w14:paraId="345A9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733" w:type="dxa"/>
            <w:vMerge w:val="restart"/>
            <w:vAlign w:val="center"/>
          </w:tcPr>
          <w:p w14:paraId="52F2F9AC">
            <w:pPr>
              <w:pStyle w:val="14"/>
              <w:ind w:firstLine="0" w:firstLineChars="0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4394" w:type="dxa"/>
            <w:vAlign w:val="center"/>
          </w:tcPr>
          <w:p w14:paraId="33575FAA">
            <w:pPr>
              <w:pStyle w:val="14"/>
              <w:ind w:firstLine="0" w:firstLineChars="0"/>
              <w:jc w:val="left"/>
            </w:pPr>
            <w:r>
              <w:rPr>
                <w:rFonts w:hint="eastAsia"/>
              </w:rPr>
              <w:t>集中供暖</w:t>
            </w:r>
            <w:r>
              <w:t>系统热水循环泵的耗电输热比、空调冷热水系统循环水泵的耗电输</w:t>
            </w:r>
            <w:r>
              <w:rPr>
                <w:rFonts w:hint="eastAsia"/>
              </w:rPr>
              <w:t>冷</w:t>
            </w:r>
            <w:r>
              <w:t>（</w:t>
            </w:r>
            <w:r>
              <w:rPr>
                <w:rFonts w:hint="eastAsia"/>
              </w:rPr>
              <w:t>热</w:t>
            </w:r>
            <w:r>
              <w:t>）</w:t>
            </w:r>
            <w:r>
              <w:rPr>
                <w:rFonts w:hint="eastAsia"/>
              </w:rPr>
              <w:t>比比</w:t>
            </w:r>
            <w:r>
              <w:t>现行国家标准《</w:t>
            </w:r>
            <w:r>
              <w:rPr>
                <w:rFonts w:hint="eastAsia"/>
              </w:rPr>
              <w:t>民用</w:t>
            </w:r>
            <w:r>
              <w:t>建筑</w:t>
            </w:r>
            <w:r>
              <w:rPr>
                <w:rFonts w:hint="eastAsia"/>
              </w:rPr>
              <w:t>供暖</w:t>
            </w:r>
            <w:r>
              <w:t>通风与空气调节设计规范》</w:t>
            </w:r>
            <w:r>
              <w:rPr>
                <w:rFonts w:hint="eastAsia"/>
              </w:rPr>
              <w:t>GB</w:t>
            </w:r>
            <w:r>
              <w:t>50736规定</w:t>
            </w:r>
            <w:r>
              <w:rPr>
                <w:rFonts w:hint="eastAsia"/>
              </w:rPr>
              <w:t>值</w:t>
            </w:r>
            <w:r>
              <w:t>低</w:t>
            </w:r>
            <w:r>
              <w:rPr>
                <w:rFonts w:hint="eastAsia"/>
              </w:rPr>
              <w:t>20</w:t>
            </w:r>
            <w:r>
              <w:t>%</w:t>
            </w:r>
          </w:p>
        </w:tc>
        <w:tc>
          <w:tcPr>
            <w:tcW w:w="1559" w:type="dxa"/>
            <w:vMerge w:val="restart"/>
            <w:vAlign w:val="center"/>
          </w:tcPr>
          <w:p w14:paraId="28547F12">
            <w:pPr>
              <w:pStyle w:val="14"/>
              <w:ind w:firstLine="0" w:firstLineChars="0"/>
              <w:jc w:val="center"/>
            </w:pPr>
            <w:r>
              <w:t>3</w:t>
            </w:r>
          </w:p>
        </w:tc>
        <w:sdt>
          <w:sdtPr>
            <w:rPr>
              <w:rFonts w:hint="eastAsia"/>
              <w:szCs w:val="21"/>
            </w:rPr>
            <w:id w:val="762422163"/>
            <w:placeholder>
              <w:docPart w:val="4911E1155BDD4842835044210E202439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300" w:type="dxa"/>
                <w:vAlign w:val="center"/>
              </w:tcPr>
              <w:p w14:paraId="14B6A3DF">
                <w:pPr>
                  <w:pStyle w:val="14"/>
                  <w:ind w:firstLine="0" w:firstLineChars="0"/>
                  <w:jc w:val="center"/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  <w:r>
                  <w:rPr>
                    <w:rFonts w:hint="eastAsia"/>
                    <w:szCs w:val="21"/>
                    <w:lang w:val="en-US" w:eastAsia="zh-CN"/>
                  </w:rPr>
                  <w:t>3</w:t>
                </w:r>
              </w:p>
            </w:tc>
          </w:sdtContent>
        </w:sdt>
      </w:tr>
      <w:tr w14:paraId="2447B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" w:hRule="atLeast"/>
          <w:jc w:val="center"/>
        </w:trPr>
        <w:tc>
          <w:tcPr>
            <w:tcW w:w="733" w:type="dxa"/>
            <w:vMerge w:val="continue"/>
            <w:vAlign w:val="center"/>
          </w:tcPr>
          <w:p w14:paraId="3DF40D0F">
            <w:pPr>
              <w:pStyle w:val="14"/>
              <w:ind w:firstLine="0" w:firstLineChars="0"/>
              <w:jc w:val="center"/>
            </w:pPr>
          </w:p>
        </w:tc>
        <w:tc>
          <w:tcPr>
            <w:tcW w:w="4394" w:type="dxa"/>
            <w:vAlign w:val="center"/>
          </w:tcPr>
          <w:p w14:paraId="32185631">
            <w:pPr>
              <w:pStyle w:val="14"/>
              <w:ind w:firstLine="0" w:firstLineChars="0"/>
              <w:jc w:val="left"/>
            </w:pPr>
            <w:r>
              <w:rPr>
                <w:rFonts w:hint="eastAsia"/>
              </w:rPr>
              <w:t>非集中采暖空调系统项目</w:t>
            </w:r>
          </w:p>
        </w:tc>
        <w:tc>
          <w:tcPr>
            <w:tcW w:w="1559" w:type="dxa"/>
            <w:vMerge w:val="continue"/>
            <w:vAlign w:val="center"/>
          </w:tcPr>
          <w:p w14:paraId="7B665EF3">
            <w:pPr>
              <w:pStyle w:val="14"/>
              <w:ind w:firstLine="0" w:firstLineChars="0"/>
              <w:jc w:val="center"/>
            </w:pPr>
          </w:p>
        </w:tc>
        <w:sdt>
          <w:sdtPr>
            <w:rPr>
              <w:rFonts w:hint="eastAsia"/>
              <w:szCs w:val="21"/>
            </w:rPr>
            <w:id w:val="291256951"/>
            <w:placeholder>
              <w:docPart w:val="D60EE92FFF1348E6A77A4F9F775FAE75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300" w:type="dxa"/>
                <w:vAlign w:val="center"/>
              </w:tcPr>
              <w:p w14:paraId="062AC866">
                <w:pPr>
                  <w:pStyle w:val="14"/>
                  <w:ind w:firstLine="0" w:firstLineChars="0"/>
                  <w:jc w:val="center"/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 w14:paraId="25544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" w:hRule="atLeast"/>
          <w:jc w:val="center"/>
        </w:trPr>
        <w:tc>
          <w:tcPr>
            <w:tcW w:w="5127" w:type="dxa"/>
            <w:gridSpan w:val="2"/>
            <w:vAlign w:val="center"/>
          </w:tcPr>
          <w:p w14:paraId="3F318DE4">
            <w:pPr>
              <w:pStyle w:val="14"/>
              <w:ind w:firstLine="0" w:firstLineChars="0"/>
              <w:jc w:val="center"/>
            </w:pPr>
            <w:r>
              <w:rPr>
                <w:rFonts w:hint="eastAsia"/>
              </w:rPr>
              <w:t>合计</w:t>
            </w:r>
          </w:p>
        </w:tc>
        <w:tc>
          <w:tcPr>
            <w:tcW w:w="1559" w:type="dxa"/>
            <w:vAlign w:val="center"/>
          </w:tcPr>
          <w:p w14:paraId="753A9B8C">
            <w:pPr>
              <w:pStyle w:val="14"/>
              <w:ind w:firstLine="0" w:firstLineChars="0"/>
              <w:jc w:val="center"/>
            </w:pPr>
            <w:r>
              <w:rPr>
                <w:rFonts w:hint="eastAsia"/>
              </w:rPr>
              <w:t>5</w:t>
            </w:r>
          </w:p>
        </w:tc>
        <w:sdt>
          <w:sdtPr>
            <w:rPr>
              <w:rFonts w:hint="eastAsia"/>
              <w:szCs w:val="21"/>
            </w:rPr>
            <w:id w:val="-1160302195"/>
            <w:placeholder>
              <w:docPart w:val="B4C999D0D9F84D8A8DC5AB8803A3CEA7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300" w:type="dxa"/>
                <w:vAlign w:val="center"/>
              </w:tcPr>
              <w:p w14:paraId="1F61E08C">
                <w:pPr>
                  <w:pStyle w:val="14"/>
                  <w:ind w:firstLine="0" w:firstLineChars="0"/>
                  <w:jc w:val="center"/>
                </w:pPr>
                <w:r>
                  <w:rPr>
                    <w:rFonts w:hint="eastAsia"/>
                    <w:szCs w:val="21"/>
                  </w:rPr>
                  <w:t xml:space="preserve"> </w:t>
                </w:r>
                <w:r>
                  <w:rPr>
                    <w:rFonts w:hint="eastAsia"/>
                    <w:szCs w:val="21"/>
                    <w:lang w:val="en-US" w:eastAsia="zh-CN"/>
                  </w:rPr>
                  <w:t>5</w:t>
                </w:r>
                <w:r>
                  <w:rPr>
                    <w:rFonts w:hint="eastAsia"/>
                    <w:szCs w:val="21"/>
                  </w:rPr>
                  <w:t xml:space="preserve"> </w:t>
                </w:r>
              </w:p>
            </w:tc>
          </w:sdtContent>
        </w:sdt>
      </w:tr>
    </w:tbl>
    <w:p w14:paraId="2FAE0CAC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27237838">
      <w:pPr>
        <w:spacing w:line="288" w:lineRule="auto"/>
      </w:pPr>
      <w:r>
        <w:rPr>
          <w:rFonts w:hint="eastAsia"/>
        </w:rPr>
        <w:t>通风空调系统风机的单位风量耗功率：</w:t>
      </w:r>
    </w:p>
    <w:tbl>
      <w:tblPr>
        <w:tblStyle w:val="6"/>
        <w:tblW w:w="804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9"/>
        <w:gridCol w:w="2835"/>
        <w:gridCol w:w="2871"/>
      </w:tblGrid>
      <w:tr w14:paraId="4BA029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4D4E7">
            <w:pPr>
              <w:widowControl/>
              <w:jc w:val="center"/>
              <w:rPr>
                <w:rFonts w:cs="宋体"/>
                <w:kern w:val="0"/>
                <w:szCs w:val="18"/>
              </w:rPr>
            </w:pPr>
            <w:r>
              <w:rPr>
                <w:rFonts w:hint="eastAsia" w:cs="宋体"/>
                <w:kern w:val="0"/>
                <w:szCs w:val="18"/>
              </w:rPr>
              <w:t>设备类型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8D14BC">
            <w:pPr>
              <w:widowControl/>
              <w:jc w:val="center"/>
              <w:rPr>
                <w:rFonts w:cs="宋体"/>
                <w:kern w:val="0"/>
                <w:szCs w:val="18"/>
              </w:rPr>
            </w:pPr>
            <w:r>
              <w:rPr>
                <w:rFonts w:hint="eastAsia" w:cs="宋体"/>
                <w:kern w:val="0"/>
                <w:szCs w:val="18"/>
              </w:rPr>
              <w:t>设备编号</w:t>
            </w:r>
          </w:p>
        </w:tc>
        <w:tc>
          <w:tcPr>
            <w:tcW w:w="28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01543C">
            <w:pPr>
              <w:widowControl/>
              <w:jc w:val="center"/>
              <w:rPr>
                <w:rFonts w:cs="宋体"/>
                <w:kern w:val="0"/>
                <w:szCs w:val="18"/>
              </w:rPr>
            </w:pPr>
            <w:r>
              <w:rPr>
                <w:rFonts w:hint="eastAsia" w:cs="宋体"/>
                <w:kern w:val="0"/>
                <w:szCs w:val="18"/>
              </w:rPr>
              <w:t>单位风量耗功率</w:t>
            </w:r>
          </w:p>
        </w:tc>
      </w:tr>
      <w:tr w14:paraId="2DD490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3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BC41A5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  <w:lang w:eastAsia="zh-CN"/>
              </w:rPr>
              <w:t>独</w:t>
            </w:r>
            <w:r>
              <w:rPr>
                <w:kern w:val="0"/>
                <w:sz w:val="18"/>
                <w:szCs w:val="18"/>
              </w:rPr>
              <w:t>立新排风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2D2197EA">
            <w:pPr>
              <w:widowControl/>
              <w:jc w:val="center"/>
              <w:rPr>
                <w:rFonts w:hint="default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060607"/>
                <w:spacing w:val="3"/>
                <w:sz w:val="16"/>
                <w:szCs w:val="16"/>
                <w:shd w:val="clear" w:fill="FFFFFF"/>
                <w:lang w:val="en-US" w:eastAsia="zh-CN"/>
              </w:rPr>
              <w:t>001</w:t>
            </w:r>
          </w:p>
        </w:tc>
        <w:tc>
          <w:tcPr>
            <w:tcW w:w="2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45CC1126">
            <w:pPr>
              <w:widowControl/>
              <w:jc w:val="center"/>
              <w:rPr>
                <w:rFonts w:hint="default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0.2</w:t>
            </w:r>
          </w:p>
        </w:tc>
      </w:tr>
      <w:tr w14:paraId="321EAE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3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A00516">
            <w:pPr>
              <w:jc w:val="center"/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70AAACAE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011DAA69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</w:tr>
      <w:tr w14:paraId="7FF7FA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3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92FEF7">
            <w:pPr>
              <w:jc w:val="center"/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594E0CF8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6BA3DFA1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</w:tr>
      <w:tr w14:paraId="1B8CE7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3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623F6B">
            <w:pPr>
              <w:jc w:val="center"/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6A3C3F13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7301CEA8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</w:tr>
    </w:tbl>
    <w:p w14:paraId="09CFFADB">
      <w:pPr>
        <w:spacing w:line="288" w:lineRule="auto"/>
      </w:pPr>
      <w:r>
        <w:rPr>
          <w:rFonts w:hint="eastAsia"/>
        </w:rPr>
        <w:t>集中供暖系统热水循环泵的耗电输热比：</w:t>
      </w:r>
      <w:sdt>
        <w:sdtPr>
          <w:rPr>
            <w:rFonts w:hint="eastAsia"/>
            <w:u w:val="single"/>
          </w:rPr>
          <w:id w:val="112333415"/>
          <w:placeholder>
            <w:docPart w:val="8207DFA01C1C4D66A59F6ADC339C7FFB"/>
          </w:placeholder>
          <w:text/>
        </w:sdtPr>
        <w:sdtEndPr>
          <w:rPr>
            <w:rFonts w:hint="eastAsia"/>
            <w:u w:val="single"/>
          </w:rPr>
        </w:sdtEndPr>
        <w:sdtContent>
          <w:r>
            <w:rPr>
              <w:rFonts w:hint="eastAsia"/>
              <w:u w:val="single"/>
            </w:rPr>
            <w:t xml:space="preserve">    0.0145 </w:t>
          </w:r>
        </w:sdtContent>
      </w:sdt>
      <w:r>
        <w:rPr>
          <w:u w:val="single"/>
        </w:rPr>
        <w:t xml:space="preserve"> </w:t>
      </w:r>
      <w:r>
        <w:t xml:space="preserve">  </w:t>
      </w:r>
      <w:r>
        <w:rPr>
          <w:rFonts w:hint="eastAsia"/>
        </w:rPr>
        <w:t>，标准规定值：</w:t>
      </w:r>
      <w:sdt>
        <w:sdtPr>
          <w:rPr>
            <w:rFonts w:hint="eastAsia"/>
            <w:u w:val="single"/>
          </w:rPr>
          <w:id w:val="-489326910"/>
          <w:placeholder>
            <w:docPart w:val="3091F67CBE29481FAF7AC18B23C61F25"/>
          </w:placeholder>
          <w:text/>
        </w:sdtPr>
        <w:sdtEndPr>
          <w:rPr>
            <w:rFonts w:hint="eastAsia"/>
            <w:u w:val="single"/>
          </w:rPr>
        </w:sdtEndPr>
        <w:sdtContent>
          <w:r>
            <w:rPr>
              <w:rFonts w:hint="eastAsia"/>
              <w:u w:val="single"/>
            </w:rPr>
            <w:t xml:space="preserve">0.069     </w:t>
          </w:r>
        </w:sdtContent>
      </w:sdt>
      <w:r>
        <w:rPr>
          <w:rFonts w:hint="eastAsia"/>
        </w:rPr>
        <w:t>。</w:t>
      </w:r>
    </w:p>
    <w:p w14:paraId="67E02502">
      <w:pPr>
        <w:spacing w:line="288" w:lineRule="auto"/>
      </w:pPr>
      <w:r>
        <w:rPr>
          <w:rFonts w:hint="eastAsia"/>
        </w:rPr>
        <w:t>空调冷热水系统循环水泵的耗电输冷（热）比：</w:t>
      </w:r>
      <w:sdt>
        <w:sdtPr>
          <w:rPr>
            <w:rFonts w:hint="eastAsia"/>
            <w:u w:val="single"/>
          </w:rPr>
          <w:id w:val="8272691"/>
          <w:placeholder>
            <w:docPart w:val="04BC8747AF804EE28AEF41BAA0955509"/>
          </w:placeholder>
          <w:text/>
        </w:sdtPr>
        <w:sdtEndPr>
          <w:rPr>
            <w:rFonts w:hint="eastAsia"/>
            <w:u w:val="single"/>
          </w:rPr>
        </w:sdtEndPr>
        <w:sdtContent>
          <w:r>
            <w:rPr>
              <w:rFonts w:hint="eastAsia"/>
              <w:u w:val="single"/>
            </w:rPr>
            <w:t xml:space="preserve">  0.0717   </w:t>
          </w:r>
        </w:sdtContent>
      </w:sdt>
      <w:r>
        <w:rPr>
          <w:rFonts w:hint="eastAsia"/>
        </w:rPr>
        <w:t xml:space="preserve"> ，标准规定值：</w:t>
      </w:r>
      <w:sdt>
        <w:sdtPr>
          <w:rPr>
            <w:rFonts w:hint="eastAsia"/>
            <w:u w:val="single"/>
          </w:rPr>
          <w:id w:val="1633910086"/>
          <w:placeholder>
            <w:docPart w:val="C0FE428EE06E408FBC76759AD93248A4"/>
          </w:placeholder>
          <w:text/>
        </w:sdtPr>
        <w:sdtEndPr>
          <w:rPr>
            <w:rFonts w:hint="eastAsia"/>
            <w:u w:val="single"/>
          </w:rPr>
        </w:sdtEndPr>
        <w:sdtContent>
          <w:r>
            <w:rPr>
              <w:rFonts w:hint="eastAsia"/>
              <w:u w:val="single"/>
            </w:rPr>
            <w:t xml:space="preserve"> 0.0</w:t>
          </w:r>
          <w:r>
            <w:rPr>
              <w:rFonts w:hint="eastAsia"/>
              <w:u w:val="single"/>
              <w:lang w:val="en-US" w:eastAsia="zh-CN"/>
            </w:rPr>
            <w:t>8</w:t>
          </w:r>
          <w:r>
            <w:rPr>
              <w:rFonts w:hint="eastAsia"/>
              <w:u w:val="single"/>
            </w:rPr>
            <w:t xml:space="preserve">9    </w:t>
          </w:r>
        </w:sdtContent>
      </w:sdt>
      <w:r>
        <w:rPr>
          <w:rFonts w:hint="eastAsia"/>
        </w:rPr>
        <w:t>。</w:t>
      </w:r>
    </w:p>
    <w:p w14:paraId="6A8111F0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bookmarkStart w:id="0" w:name="_Toc9945048"/>
      <w:bookmarkStart w:id="1" w:name="_Toc9945334"/>
      <w:bookmarkStart w:id="2" w:name="_Toc9945475"/>
      <w:bookmarkStart w:id="3" w:name="_Toc9945192"/>
      <w:bookmarkStart w:id="4" w:name="_Toc9944768"/>
      <w:r>
        <w:rPr>
          <w:rFonts w:ascii="Times New Roman" w:hAnsi="Times New Roman" w:eastAsia="宋体" w:cs="Times New Roman"/>
          <w:b/>
          <w:szCs w:val="21"/>
        </w:rPr>
        <w:t>3 证明材料</w:t>
      </w:r>
      <w:bookmarkStart w:id="15" w:name="_GoBack"/>
      <w:bookmarkEnd w:id="15"/>
    </w:p>
    <w:p w14:paraId="15D0CED0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441EA4B7">
      <w:pPr>
        <w:rPr>
          <w:rFonts w:ascii="Times New Roman" w:hAnsi="Times New Roman" w:cs="Times New Roman" w:eastAsiaTheme="majorEastAsia"/>
        </w:rPr>
      </w:pPr>
      <w:r>
        <w:rPr>
          <w:rFonts w:ascii="Times New Roman" w:hAnsi="Times New Roman" w:cs="Times New Roman" w:eastAsiaTheme="majorEastAsia"/>
        </w:rPr>
        <w:t>1</w:t>
      </w:r>
      <w:r>
        <w:rPr>
          <w:rFonts w:hint="eastAsia" w:ascii="Times New Roman" w:hAnsi="Times New Roman" w:cs="Times New Roman" w:eastAsiaTheme="majorEastAsia"/>
        </w:rPr>
        <w:t>）暖通专业竣工图及设计说明，</w:t>
      </w:r>
      <w:r>
        <w:rPr>
          <w:rFonts w:ascii="Times New Roman" w:hAnsi="Times New Roman" w:cs="Times New Roman" w:eastAsiaTheme="majorEastAsia"/>
        </w:rPr>
        <w:t>应包含设备表、风系统图及</w:t>
      </w:r>
      <w:r>
        <w:rPr>
          <w:rFonts w:hint="eastAsia" w:ascii="Times New Roman" w:hAnsi="Times New Roman" w:cs="Times New Roman" w:eastAsiaTheme="majorEastAsia"/>
        </w:rPr>
        <w:t>水</w:t>
      </w:r>
      <w:r>
        <w:rPr>
          <w:rFonts w:ascii="Times New Roman" w:hAnsi="Times New Roman" w:cs="Times New Roman" w:eastAsiaTheme="majorEastAsia"/>
        </w:rPr>
        <w:t>系统等设计文件</w:t>
      </w:r>
      <w:r>
        <w:rPr>
          <w:rFonts w:hint="eastAsia" w:ascii="Times New Roman" w:hAnsi="Times New Roman" w:cs="Times New Roman" w:eastAsiaTheme="majorEastAsia"/>
        </w:rPr>
        <w:t>；</w:t>
      </w:r>
      <w:bookmarkEnd w:id="0"/>
      <w:bookmarkEnd w:id="1"/>
      <w:bookmarkEnd w:id="2"/>
      <w:bookmarkEnd w:id="3"/>
      <w:bookmarkEnd w:id="4"/>
    </w:p>
    <w:p w14:paraId="517400E9">
      <w:pPr>
        <w:rPr>
          <w:rFonts w:ascii="Times New Roman" w:hAnsi="Times New Roman" w:cs="Times New Roman" w:eastAsiaTheme="majorEastAsia"/>
        </w:rPr>
      </w:pPr>
      <w:bookmarkStart w:id="5" w:name="_Toc9945193"/>
      <w:bookmarkStart w:id="6" w:name="_Toc9945335"/>
      <w:bookmarkStart w:id="7" w:name="_Toc9945476"/>
      <w:bookmarkStart w:id="8" w:name="_Toc9944769"/>
      <w:bookmarkStart w:id="9" w:name="_Toc9945049"/>
      <w:r>
        <w:rPr>
          <w:rFonts w:ascii="Times New Roman" w:hAnsi="Times New Roman" w:cs="Times New Roman" w:eastAsiaTheme="majorEastAsia"/>
        </w:rPr>
        <w:t>2</w:t>
      </w:r>
      <w:r>
        <w:rPr>
          <w:rFonts w:hint="eastAsia" w:ascii="Times New Roman" w:hAnsi="Times New Roman" w:cs="Times New Roman" w:eastAsiaTheme="majorEastAsia"/>
        </w:rPr>
        <w:t>）风机及水泵的产品性能检测报告；</w:t>
      </w:r>
      <w:bookmarkEnd w:id="5"/>
      <w:bookmarkEnd w:id="6"/>
      <w:bookmarkEnd w:id="7"/>
      <w:bookmarkEnd w:id="8"/>
      <w:bookmarkEnd w:id="9"/>
    </w:p>
    <w:p w14:paraId="27826EC3">
      <w:pPr>
        <w:rPr>
          <w:rFonts w:ascii="Times New Roman" w:hAnsi="Times New Roman" w:cs="Times New Roman" w:eastAsiaTheme="majorEastAsia"/>
        </w:rPr>
      </w:pPr>
      <w:bookmarkStart w:id="10" w:name="_Toc9944770"/>
      <w:bookmarkStart w:id="11" w:name="_Toc9945194"/>
      <w:bookmarkStart w:id="12" w:name="_Toc9945336"/>
      <w:bookmarkStart w:id="13" w:name="_Toc9945477"/>
      <w:bookmarkStart w:id="14" w:name="_Toc9945050"/>
      <w:r>
        <w:rPr>
          <w:rFonts w:hint="eastAsia" w:ascii="Times New Roman" w:hAnsi="Times New Roman" w:cs="Times New Roman" w:eastAsiaTheme="majorEastAsia"/>
        </w:rPr>
        <w:t>3）风机的单位风量耗功率、空调冷热水系统的耗电输冷（热）比、集中供暖系统热水循环泵的耗电输热比计算书。</w:t>
      </w:r>
      <w:bookmarkEnd w:id="10"/>
      <w:bookmarkEnd w:id="11"/>
      <w:bookmarkEnd w:id="12"/>
      <w:bookmarkEnd w:id="13"/>
      <w:bookmarkEnd w:id="14"/>
    </w:p>
    <w:p w14:paraId="3C8A027A"/>
    <w:p w14:paraId="6F3F92E7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6FC43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  <w:jc w:val="center"/>
        </w:trPr>
        <w:tc>
          <w:tcPr>
            <w:tcW w:w="9356" w:type="dxa"/>
          </w:tcPr>
          <w:p w14:paraId="54865E9A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580568A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DA4"/>
    <w:rsid w:val="00074A38"/>
    <w:rsid w:val="00214469"/>
    <w:rsid w:val="003F2D56"/>
    <w:rsid w:val="00504C6F"/>
    <w:rsid w:val="00D0778C"/>
    <w:rsid w:val="00D94DA4"/>
    <w:rsid w:val="057F4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列出段落1"/>
    <w:basedOn w:val="1"/>
    <w:qFormat/>
    <w:uiPriority w:val="34"/>
    <w:pPr>
      <w:spacing w:line="288" w:lineRule="auto"/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5">
    <w:name w:val="样式1"/>
    <w:basedOn w:val="8"/>
    <w:uiPriority w:val="1"/>
    <w:rPr>
      <w:rFonts w:eastAsiaTheme="minorEastAsia"/>
      <w:sz w:val="21"/>
    </w:rPr>
  </w:style>
  <w:style w:type="character" w:customStyle="1" w:styleId="16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156C56E31A224E9CAA0891AC68BCD5A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63094D1-FEF8-47D9-823B-62F919C91F4C}"/>
      </w:docPartPr>
      <w:docPartBody>
        <w:p w14:paraId="5F29DD4D"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46CA8C201094401BD2D9D34E8EBB82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C507578-3264-457B-88C9-05C444FFD8ED}"/>
      </w:docPartPr>
      <w:docPartBody>
        <w:p w14:paraId="6C775FA4"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911E1155BDD4842835044210E20243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F082B74-D5B0-4ADE-9091-B194739F6BC7}"/>
      </w:docPartPr>
      <w:docPartBody>
        <w:p w14:paraId="6D91D0EC"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60EE92FFF1348E6A77A4F9F775FAE7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2AD532E-11CA-4680-A3BF-80535879DC43}"/>
      </w:docPartPr>
      <w:docPartBody>
        <w:p w14:paraId="2B429DF1"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4C999D0D9F84D8A8DC5AB8803A3CEA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8D10C97-8FBC-44CD-BBA0-F88CAC3C4D8C}"/>
      </w:docPartPr>
      <w:docPartBody>
        <w:p w14:paraId="402CE4F8"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207DFA01C1C4D66A59F6ADC339C7FF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81C6CA3-7305-473E-9655-2D7BAF6C8B54}"/>
      </w:docPartPr>
      <w:docPartBody>
        <w:p w14:paraId="1F92CA02">
          <w:pPr>
            <w:pStyle w:val="2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091F67CBE29481FAF7AC18B23C61F2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B433EB8-3304-4CE9-BE28-C034FB5466A3}"/>
      </w:docPartPr>
      <w:docPartBody>
        <w:p w14:paraId="1FA09814">
          <w:pPr>
            <w:pStyle w:val="2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4BC8747AF804EE28AEF41BAA095550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E02BB65-5D05-42F1-AFD1-1BEA3FB1BF36}"/>
      </w:docPartPr>
      <w:docPartBody>
        <w:p w14:paraId="221DB6D9">
          <w:pPr>
            <w:pStyle w:val="2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0FE428EE06E408FBC76759AD93248A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65D573F-E274-4BAE-A517-66EE966EDD39}"/>
      </w:docPartPr>
      <w:docPartBody>
        <w:p w14:paraId="56AB2886">
          <w:pPr>
            <w:pStyle w:val="2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CF2"/>
    <w:rsid w:val="002D6BB7"/>
    <w:rsid w:val="004F2329"/>
    <w:rsid w:val="00CB5CF2"/>
    <w:rsid w:val="00FF2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156C56E31A224E9CAA0891AC68BCD5A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346CA8C201094401BD2D9D34E8EBB82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4911E1155BDD4842835044210E20243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D60EE92FFF1348E6A77A4F9F775FAE7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B4C999D0D9F84D8A8DC5AB8803A3CEA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3F4D414C552C47BA94373DC02FF83F7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50DFC060662A499290A6EA50E216D50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9599C54C6976491F8A1740574B907D5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9C3A5493BD474531B2EB6C6339C9A49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61DEBA6C29BA41CA88B637055BAEFBA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A6B1A58B2D61436DA927FE80DE04739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851134FA3822466E825C3B26844D518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55F5CAABE908437A97C2243E8ED09CD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26939AA22721401B8AE9A85CB6F1234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987515BE689043D093924002C81CCAA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410EB9F2FFC44696A16D14F052CE8B0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2866F137ADF4496490E18CF19DCD5FC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8207DFA01C1C4D66A59F6ADC339C7FF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3091F67CBE29481FAF7AC18B23C61F2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04BC8747AF804EE28AEF41BAA095550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C0FE428EE06E408FBC76759AD93248A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6862D45AF8444E6DB5E5FE8261D8A60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416</Words>
  <Characters>436</Characters>
  <Lines>3</Lines>
  <Paragraphs>1</Paragraphs>
  <TotalTime>3</TotalTime>
  <ScaleCrop>false</ScaleCrop>
  <LinksUpToDate>false</LinksUpToDate>
  <CharactersWithSpaces>475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2019-07-12T08:08:00Z</dcterms:created>
  <dc:creator>dongYP</dc:creator>
  <cp:lastModifiedBy>Lenovo</cp:lastModifiedBy>
  <dcterms:modified xsi:type="dcterms:W3CDTF">2025-03-13T08:39:04Z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eyJoZGlkIjoiNDFhY2Y3Y2E2YzdlNDU3NjQ0ZTI3MjMwZDk0OTFhYjgifQ==</vt:lpwstr>
  </property>
  <property fmtid="{D5CDD505-2E9C-101B-9397-08002B2CF9AE}" pid="3" name="KSOProductBuildVer">
    <vt:lpwstr>2052-12.1.0.20305</vt:lpwstr>
  </property>
  <property fmtid="{D5CDD505-2E9C-101B-9397-08002B2CF9AE}" pid="4" name="ICV">
    <vt:lpwstr>0013D0DEAA8E4A07A22A9083C3DFE4B1_13</vt:lpwstr>
  </property>
</Properties>
</file>