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绿色运河——青年共享生态社区综合体设计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中国城市科学研究会绿色建筑研究中心   V2.0.1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住宅建筑隔声性能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达到高要求标准限值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达到高要求标准限值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96.0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82.0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36.0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136.0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78.0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36.0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总得分：Q=（Q0+Q1+Q2+Q3+Q4+Q5+QA）/10=86.4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224332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162382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16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强制性规范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14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96.0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