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71" w:name="_GoBack"/>
      <w:bookmarkEnd w:id="71"/>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2024年12月26日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T17734800038</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_Toc8348 </w:instrText>
      </w:r>
      <w:r>
        <w:rPr>
          <w:rFonts w:ascii="宋体" w:hAnsi="宋体"/>
          <w:caps/>
        </w:rPr>
        <w:fldChar w:fldCharType="separate"/>
      </w:r>
      <w:r>
        <w:t xml:space="preserve">1 </w:t>
      </w:r>
      <w:r>
        <w:rPr>
          <w:rFonts w:hint="eastAsia"/>
        </w:rPr>
        <w:t>建筑概况</w:t>
      </w:r>
      <w:r>
        <w:tab/>
      </w:r>
      <w:r>
        <w:fldChar w:fldCharType="begin"/>
      </w:r>
      <w:r>
        <w:instrText xml:space="preserve"> PAGEREF _Toc8348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_Toc12961 </w:instrText>
      </w:r>
      <w:r>
        <w:fldChar w:fldCharType="separate"/>
      </w:r>
      <w:r>
        <w:t xml:space="preserve">2 </w:t>
      </w:r>
      <w:r>
        <w:rPr>
          <w:rFonts w:hint="eastAsia"/>
        </w:rPr>
        <w:t>评价依据</w:t>
      </w:r>
      <w:r>
        <w:tab/>
      </w:r>
      <w:r>
        <w:fldChar w:fldCharType="begin"/>
      </w:r>
      <w:r>
        <w:instrText xml:space="preserve"> PAGEREF _Toc12961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_Toc24567 </w:instrText>
      </w:r>
      <w:r>
        <w:fldChar w:fldCharType="separate"/>
      </w:r>
      <w:r>
        <w:t xml:space="preserve">3 </w:t>
      </w:r>
      <w:r>
        <w:rPr>
          <w:rFonts w:hint="eastAsia"/>
        </w:rPr>
        <w:t>标准</w:t>
      </w:r>
      <w:r>
        <w:t>要求</w:t>
      </w:r>
      <w:r>
        <w:tab/>
      </w:r>
      <w:r>
        <w:fldChar w:fldCharType="begin"/>
      </w:r>
      <w:r>
        <w:instrText xml:space="preserve"> PAGEREF _Toc24567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_Toc32563 </w:instrText>
      </w:r>
      <w:r>
        <w:fldChar w:fldCharType="separate"/>
      </w:r>
      <w:r>
        <w:t xml:space="preserve">4 </w:t>
      </w:r>
      <w:r>
        <w:rPr>
          <w:rFonts w:hint="eastAsia"/>
        </w:rPr>
        <w:t>隔声理论概述</w:t>
      </w:r>
      <w:r>
        <w:tab/>
      </w:r>
      <w:r>
        <w:fldChar w:fldCharType="begin"/>
      </w:r>
      <w:r>
        <w:instrText xml:space="preserve"> PAGEREF _Toc32563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_Toc30579 </w:instrText>
      </w:r>
      <w:r>
        <w:fldChar w:fldCharType="separate"/>
      </w:r>
      <w:r>
        <w:t xml:space="preserve">4.1 </w:t>
      </w:r>
      <w:r>
        <w:rPr>
          <w:rFonts w:hint="eastAsia"/>
        </w:rPr>
        <w:t>原理概要</w:t>
      </w:r>
      <w:r>
        <w:tab/>
      </w:r>
      <w:r>
        <w:fldChar w:fldCharType="begin"/>
      </w:r>
      <w:r>
        <w:instrText xml:space="preserve"> PAGEREF _Toc30579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_Toc27084 </w:instrText>
      </w:r>
      <w:r>
        <w:fldChar w:fldCharType="separate"/>
      </w:r>
      <w:r>
        <w:t xml:space="preserve">4.2 </w:t>
      </w:r>
      <w:r>
        <w:rPr>
          <w:rFonts w:hint="eastAsia"/>
        </w:rPr>
        <w:t>质量定律</w:t>
      </w:r>
      <w:r>
        <w:tab/>
      </w:r>
      <w:r>
        <w:fldChar w:fldCharType="begin"/>
      </w:r>
      <w:r>
        <w:instrText xml:space="preserve"> PAGEREF _Toc27084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_Toc10920 </w:instrText>
      </w:r>
      <w:r>
        <w:fldChar w:fldCharType="separate"/>
      </w:r>
      <w:r>
        <w:t>4.3 隔声</w:t>
      </w:r>
      <w:r>
        <w:rPr>
          <w:rFonts w:hint="eastAsia"/>
        </w:rPr>
        <w:t>量计算经验</w:t>
      </w:r>
      <w:r>
        <w:t>公式</w:t>
      </w:r>
      <w:r>
        <w:tab/>
      </w:r>
      <w:r>
        <w:fldChar w:fldCharType="begin"/>
      </w:r>
      <w:r>
        <w:instrText xml:space="preserve"> PAGEREF _Toc10920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_Toc25808 </w:instrText>
      </w:r>
      <w:r>
        <w:fldChar w:fldCharType="separate"/>
      </w:r>
      <w:r>
        <w:t xml:space="preserve">4.4 </w:t>
      </w:r>
      <w:r>
        <w:rPr>
          <w:rFonts w:hint="eastAsia"/>
        </w:rPr>
        <w:t>单值评价量</w:t>
      </w:r>
      <w:r>
        <w:tab/>
      </w:r>
      <w:r>
        <w:fldChar w:fldCharType="begin"/>
      </w:r>
      <w:r>
        <w:instrText xml:space="preserve"> PAGEREF _Toc25808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_Toc13009 </w:instrText>
      </w:r>
      <w:r>
        <w:fldChar w:fldCharType="separate"/>
      </w:r>
      <w:r>
        <w:t xml:space="preserve">4.5 </w:t>
      </w:r>
      <w:r>
        <w:rPr>
          <w:rFonts w:hint="eastAsia"/>
        </w:rPr>
        <w:t>频谱修正量</w:t>
      </w:r>
      <w:r>
        <w:tab/>
      </w:r>
      <w:r>
        <w:fldChar w:fldCharType="begin"/>
      </w:r>
      <w:r>
        <w:instrText xml:space="preserve"> PAGEREF _Toc13009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_Toc15185 </w:instrText>
      </w:r>
      <w:r>
        <w:fldChar w:fldCharType="separate"/>
      </w:r>
      <w:r>
        <w:t xml:space="preserve">5 </w:t>
      </w:r>
      <w:r>
        <w:rPr>
          <w:rFonts w:hint="eastAsia"/>
        </w:rPr>
        <w:t>构件空气声隔声性能</w:t>
      </w:r>
      <w:r>
        <w:tab/>
      </w:r>
      <w:r>
        <w:fldChar w:fldCharType="begin"/>
      </w:r>
      <w:r>
        <w:instrText xml:space="preserve"> PAGEREF _Toc15185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_Toc21108 </w:instrText>
      </w:r>
      <w:r>
        <w:fldChar w:fldCharType="separate"/>
      </w:r>
      <w:r>
        <w:t xml:space="preserve">5.1 </w:t>
      </w:r>
      <w:r>
        <w:rPr>
          <w:rFonts w:hint="eastAsia"/>
        </w:rPr>
        <w:t>墙板的空气声隔声量</w:t>
      </w:r>
      <w:r>
        <w:tab/>
      </w:r>
      <w:r>
        <w:fldChar w:fldCharType="begin"/>
      </w:r>
      <w:r>
        <w:instrText xml:space="preserve"> PAGEREF _Toc21108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_Toc8851 </w:instrText>
      </w:r>
      <w:r>
        <w:fldChar w:fldCharType="separate"/>
      </w:r>
      <w:r>
        <w:t xml:space="preserve">5.1.1 </w:t>
      </w:r>
      <w:r>
        <w:rPr>
          <w:rFonts w:hint="eastAsia"/>
        </w:rPr>
        <w:t>墙板构造做法</w:t>
      </w:r>
      <w:r>
        <w:tab/>
      </w:r>
      <w:r>
        <w:fldChar w:fldCharType="begin"/>
      </w:r>
      <w:r>
        <w:instrText xml:space="preserve"> PAGEREF _Toc8851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_Toc14515 </w:instrText>
      </w:r>
      <w:r>
        <w:fldChar w:fldCharType="separate"/>
      </w:r>
      <w:r>
        <w:t xml:space="preserve">5.1.2 </w:t>
      </w:r>
      <w:r>
        <w:rPr>
          <w:rFonts w:hint="eastAsia"/>
        </w:rPr>
        <w:t>墙板空气声隔声性能</w:t>
      </w:r>
      <w:r>
        <w:tab/>
      </w:r>
      <w:r>
        <w:fldChar w:fldCharType="begin"/>
      </w:r>
      <w:r>
        <w:instrText xml:space="preserve"> PAGEREF _Toc14515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_Toc235 </w:instrText>
      </w:r>
      <w:r>
        <w:fldChar w:fldCharType="separate"/>
      </w:r>
      <w:r>
        <w:t xml:space="preserve">5.2 </w:t>
      </w:r>
      <w:r>
        <w:rPr>
          <w:rFonts w:hint="eastAsia"/>
        </w:rPr>
        <w:t>门窗的空气声隔声量</w:t>
      </w:r>
      <w:r>
        <w:tab/>
      </w:r>
      <w:r>
        <w:fldChar w:fldCharType="begin"/>
      </w:r>
      <w:r>
        <w:instrText xml:space="preserve"> PAGEREF _Toc235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_Toc24991 </w:instrText>
      </w:r>
      <w:r>
        <w:fldChar w:fldCharType="separate"/>
      </w:r>
      <w:r>
        <w:t xml:space="preserve">6 </w:t>
      </w:r>
      <w:r>
        <w:rPr>
          <w:rFonts w:hint="eastAsia"/>
        </w:rPr>
        <w:t>楼板撞击声隔声性能</w:t>
      </w:r>
      <w:r>
        <w:tab/>
      </w:r>
      <w:r>
        <w:fldChar w:fldCharType="begin"/>
      </w:r>
      <w:r>
        <w:instrText xml:space="preserve"> PAGEREF _Toc24991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_Toc25628 </w:instrText>
      </w:r>
      <w:r>
        <w:fldChar w:fldCharType="separate"/>
      </w:r>
      <w:r>
        <w:rPr>
          <w:kern w:val="2"/>
        </w:rPr>
        <w:t xml:space="preserve">7 </w:t>
      </w:r>
      <w:r>
        <w:rPr>
          <w:rFonts w:hint="eastAsia"/>
          <w:kern w:val="2"/>
        </w:rPr>
        <w:t>星级技术要求</w:t>
      </w:r>
      <w:r>
        <w:tab/>
      </w:r>
      <w:r>
        <w:fldChar w:fldCharType="begin"/>
      </w:r>
      <w:r>
        <w:instrText xml:space="preserve"> PAGEREF _Toc25628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_Toc15557 </w:instrText>
      </w:r>
      <w:r>
        <w:fldChar w:fldCharType="separate"/>
      </w:r>
      <w:r>
        <w:t xml:space="preserve">7.1 </w:t>
      </w:r>
      <w:r>
        <w:rPr>
          <w:rFonts w:hint="eastAsia"/>
        </w:rPr>
        <w:t>外墙-室外与卧室之间</w:t>
      </w:r>
      <w:r>
        <w:tab/>
      </w:r>
      <w:r>
        <w:fldChar w:fldCharType="begin"/>
      </w:r>
      <w:r>
        <w:instrText xml:space="preserve"> PAGEREF _Toc15557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_Toc26780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_Toc26780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_Toc278 </w:instrText>
      </w:r>
      <w:r>
        <w:fldChar w:fldCharType="separate"/>
      </w:r>
      <w:r>
        <w:t xml:space="preserve">8 </w:t>
      </w:r>
      <w:r>
        <w:rPr>
          <w:rFonts w:hint="eastAsia"/>
        </w:rPr>
        <w:t>结论</w:t>
      </w:r>
      <w:r>
        <w:tab/>
      </w:r>
      <w:r>
        <w:fldChar w:fldCharType="begin"/>
      </w:r>
      <w:r>
        <w:instrText xml:space="preserve"> PAGEREF _Toc278 \h </w:instrText>
      </w:r>
      <w:r>
        <w:fldChar w:fldCharType="separate"/>
      </w:r>
      <w:r>
        <w:t>12</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8348"/>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rPr>
                <w:rFonts w:hint="eastAsia"/>
              </w:rPr>
              <w:t>3620</w:t>
            </w:r>
            <w:bookmarkEnd w:id="13"/>
            <w:r>
              <w:rPr>
                <w:rFonts w:hint="eastAsia"/>
              </w:rPr>
              <w:t xml:space="preserve">    地下</w:t>
            </w:r>
            <w:bookmarkStart w:id="14" w:name="地下建筑面积"/>
            <w:r>
              <w:rPr>
                <w:rFonts w:hint="eastAsia"/>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rPr>
                <w:rFonts w:hint="eastAsia"/>
              </w:rP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7" w:name="地上建筑高度"/>
            <w:r>
              <w:rPr>
                <w:rFonts w:hint="eastAsia"/>
              </w:rPr>
              <w:t>10.8</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8" w:name="北向角度"/>
            <w:r>
              <w:t>106</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pPr>
      <w:bookmarkStart w:id="21" w:name="_Toc12961"/>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pPr>
      <w:bookmarkStart w:id="23" w:name="_Toc24567"/>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pPr>
              <w:spacing w:line="360" w:lineRule="exact"/>
              <w:jc w:val="center"/>
              <w:rPr>
                <w:sz w:val="21"/>
                <w:szCs w:val="21"/>
              </w:rPr>
            </w:pPr>
            <w:r>
              <w:rPr>
                <w:rFonts w:hint="eastAsia"/>
                <w:sz w:val="21"/>
                <w:szCs w:val="21"/>
              </w:rPr>
              <w:t>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pPr>
              <w:spacing w:line="360" w:lineRule="exact"/>
              <w:jc w:val="center"/>
              <w:rPr>
                <w:sz w:val="21"/>
                <w:szCs w:val="21"/>
              </w:rPr>
            </w:pPr>
            <w:r>
              <w:rPr>
                <w:rFonts w:hint="eastAsia"/>
                <w:sz w:val="21"/>
                <w:szCs w:val="21"/>
              </w:rPr>
              <w:t>空气声</w:t>
            </w:r>
          </w:p>
        </w:tc>
        <w:tc>
          <w:tcPr>
            <w:tcW w:w="2977" w:type="dxa"/>
            <w:vAlign w:val="center"/>
          </w:tcPr>
          <w:p>
            <w:pPr>
              <w:spacing w:line="360" w:lineRule="exact"/>
              <w:jc w:val="center"/>
              <w:rPr>
                <w:sz w:val="21"/>
                <w:szCs w:val="21"/>
              </w:rPr>
            </w:pPr>
            <w:r>
              <w:rPr>
                <w:rFonts w:hint="eastAsia"/>
                <w:sz w:val="21"/>
                <w:szCs w:val="21"/>
              </w:rPr>
              <w:t>室外与卧室之间</w:t>
            </w:r>
          </w:p>
        </w:tc>
        <w:tc>
          <w:tcPr>
            <w:tcW w:w="2247" w:type="dxa"/>
            <w:vAlign w:val="center"/>
          </w:tcPr>
          <w:p>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pPr>
              <w:spacing w:line="360" w:lineRule="exact"/>
              <w:jc w:val="center"/>
              <w:rPr>
                <w:sz w:val="21"/>
                <w:szCs w:val="21"/>
              </w:rPr>
            </w:pPr>
          </w:p>
        </w:tc>
        <w:tc>
          <w:tcPr>
            <w:tcW w:w="2977" w:type="dxa"/>
            <w:vAlign w:val="center"/>
          </w:tcPr>
          <w:p>
            <w:pPr>
              <w:spacing w:line="360" w:lineRule="exact"/>
              <w:jc w:val="center"/>
              <w:rPr>
                <w:sz w:val="21"/>
                <w:szCs w:val="21"/>
              </w:rPr>
            </w:pPr>
            <w:r>
              <w:rPr>
                <w:rFonts w:hint="eastAsia"/>
                <w:sz w:val="21"/>
                <w:szCs w:val="21"/>
              </w:rPr>
              <w:t>分户墙（楼板）两侧卧室之间</w:t>
            </w:r>
          </w:p>
        </w:tc>
        <w:tc>
          <w:tcPr>
            <w:tcW w:w="2247" w:type="dxa"/>
            <w:vAlign w:val="center"/>
          </w:tcPr>
          <w:p>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pPr>
              <w:spacing w:line="360" w:lineRule="exact"/>
              <w:jc w:val="center"/>
              <w:rPr>
                <w:sz w:val="21"/>
                <w:szCs w:val="21"/>
              </w:rPr>
            </w:pPr>
            <w:r>
              <w:rPr>
                <w:rFonts w:hint="eastAsia"/>
                <w:sz w:val="21"/>
                <w:szCs w:val="21"/>
              </w:rPr>
              <w:t>撞击声</w:t>
            </w:r>
          </w:p>
        </w:tc>
        <w:tc>
          <w:tcPr>
            <w:tcW w:w="2977" w:type="dxa"/>
            <w:vAlign w:val="center"/>
          </w:tcPr>
          <w:p>
            <w:pPr>
              <w:spacing w:line="360" w:lineRule="exact"/>
              <w:jc w:val="center"/>
              <w:rPr>
                <w:sz w:val="21"/>
                <w:szCs w:val="21"/>
              </w:rPr>
            </w:pPr>
            <w:r>
              <w:rPr>
                <w:rFonts w:hint="eastAsia"/>
                <w:sz w:val="21"/>
                <w:szCs w:val="21"/>
              </w:rPr>
              <w:t>卧室楼板</w:t>
            </w:r>
          </w:p>
        </w:tc>
        <w:tc>
          <w:tcPr>
            <w:tcW w:w="2247" w:type="dxa"/>
            <w:vAlign w:val="center"/>
          </w:tcPr>
          <w:p>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pPr>
      <w:bookmarkStart w:id="25" w:name="_Toc32563"/>
      <w:r>
        <w:rPr>
          <w:rFonts w:hint="eastAsia"/>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30579"/>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03"/>
      <w:bookmarkStart w:id="29" w:name="_Toc503800668"/>
      <w:bookmarkStart w:id="30" w:name="_Toc27084"/>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0920"/>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25808"/>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p>
    <w:p>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13009"/>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3"/>
        <w:ind w:firstLine="420" w:firstLineChars="200"/>
        <w:rPr>
          <w:lang w:val="en-US"/>
        </w:rPr>
      </w:pPr>
    </w:p>
    <w:p>
      <w:pPr>
        <w:pStyle w:val="2"/>
      </w:pPr>
      <w:bookmarkStart w:id="34" w:name="_Toc15185"/>
      <w:r>
        <w:rPr>
          <w:rFonts w:hint="eastAsia"/>
        </w:rPr>
        <w:t>构件空气声隔声性能</w:t>
      </w:r>
      <w:bookmarkEnd w:id="34"/>
    </w:p>
    <w:p>
      <w:pPr>
        <w:pStyle w:val="4"/>
      </w:pPr>
      <w:bookmarkStart w:id="35" w:name="_Toc21108"/>
      <w:r>
        <w:rPr>
          <w:rFonts w:hint="eastAsia"/>
        </w:rPr>
        <w:t>墙板的空气声隔声量</w:t>
      </w:r>
      <w:bookmarkEnd w:id="35"/>
    </w:p>
    <w:p>
      <w:pPr>
        <w:pStyle w:val="5"/>
      </w:pPr>
      <w:bookmarkStart w:id="36" w:name="_Toc8851"/>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石墨聚苯板</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500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133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495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c20细石混凝土(ρ=2300)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110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轻骨料混凝土(找坡层)</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1050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聚苯乙烯泡沫塑料（灰板）</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4515"/>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20mm＋加气混凝土、泡沫混凝土(ρ=700) 190mm＋石灰砂浆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35.0</w:t>
            </w:r>
          </w:p>
        </w:tc>
        <w:tc>
          <w:tcPr>
            <w:vAlign w:val="center"/>
          </w:tcPr>
          <w:p>
            <w:pPr>
              <w:rPr>
                <w:sz w:val="21"/>
                <w:szCs w:val="21"/>
              </w:rPr>
            </w:pPr>
            <w:r>
              <w:rPr>
                <w:sz w:val="21"/>
                <w:szCs w:val="21"/>
              </w:rPr>
              <w:t>38.4</w:t>
            </w:r>
          </w:p>
        </w:tc>
        <w:tc>
          <w:tcPr>
            <w:vAlign w:val="center"/>
          </w:tcPr>
          <w:p>
            <w:pPr>
              <w:rPr>
                <w:sz w:val="21"/>
                <w:szCs w:val="21"/>
              </w:rPr>
            </w:pPr>
            <w:r>
              <w:rPr>
                <w:sz w:val="21"/>
                <w:szCs w:val="21"/>
              </w:rPr>
              <w:t>41.7</w:t>
            </w:r>
          </w:p>
        </w:tc>
        <w:tc>
          <w:tcPr>
            <w:vAlign w:val="center"/>
          </w:tcPr>
          <w:p>
            <w:pPr>
              <w:rPr>
                <w:sz w:val="21"/>
                <w:szCs w:val="21"/>
              </w:rPr>
            </w:pPr>
            <w:r>
              <w:rPr>
                <w:sz w:val="21"/>
                <w:szCs w:val="21"/>
              </w:rPr>
              <w:t>45.0</w:t>
            </w:r>
          </w:p>
        </w:tc>
        <w:tc>
          <w:tcPr>
            <w:vAlign w:val="center"/>
          </w:tcPr>
          <w:p>
            <w:pPr>
              <w:rPr>
                <w:sz w:val="21"/>
                <w:szCs w:val="21"/>
              </w:rPr>
            </w:pPr>
            <w:r>
              <w:rPr>
                <w:sz w:val="21"/>
                <w:szCs w:val="21"/>
              </w:rPr>
              <w:t>48.3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20mm＋石墨聚苯板 70mm＋钢筋混凝土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45.4</w:t>
            </w:r>
          </w:p>
        </w:tc>
        <w:tc>
          <w:tcPr>
            <w:vAlign w:val="center"/>
          </w:tcPr>
          <w:p>
            <w:pPr>
              <w:rPr>
                <w:sz w:val="21"/>
                <w:szCs w:val="21"/>
              </w:rPr>
            </w:pPr>
            <w:r>
              <w:rPr>
                <w:sz w:val="21"/>
                <w:szCs w:val="21"/>
              </w:rPr>
              <w:t>48.8</w:t>
            </w:r>
          </w:p>
        </w:tc>
        <w:tc>
          <w:tcPr>
            <w:vAlign w:val="center"/>
          </w:tcPr>
          <w:p>
            <w:pPr>
              <w:rPr>
                <w:sz w:val="21"/>
                <w:szCs w:val="21"/>
              </w:rPr>
            </w:pPr>
            <w:r>
              <w:rPr>
                <w:sz w:val="21"/>
                <w:szCs w:val="21"/>
              </w:rPr>
              <w:t>52.1</w:t>
            </w:r>
          </w:p>
        </w:tc>
        <w:tc>
          <w:tcPr>
            <w:vAlign w:val="center"/>
          </w:tcPr>
          <w:p>
            <w:pPr>
              <w:rPr>
                <w:sz w:val="21"/>
                <w:szCs w:val="21"/>
              </w:rPr>
            </w:pPr>
            <w:r>
              <w:rPr>
                <w:sz w:val="21"/>
                <w:szCs w:val="21"/>
              </w:rPr>
              <w:t>55.4</w:t>
            </w:r>
          </w:p>
        </w:tc>
        <w:tc>
          <w:tcPr>
            <w:vAlign w:val="center"/>
          </w:tcPr>
          <w:p>
            <w:pPr>
              <w:rPr>
                <w:sz w:val="21"/>
                <w:szCs w:val="21"/>
              </w:rPr>
            </w:pPr>
            <w:r>
              <w:rPr>
                <w:sz w:val="21"/>
                <w:szCs w:val="21"/>
              </w:rPr>
              <w:t>58.7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0.2</w:t>
            </w:r>
          </w:p>
        </w:tc>
        <w:tc>
          <w:tcPr>
            <w:vAlign w:val="center"/>
          </w:tcPr>
          <w:p>
            <w:pPr>
              <w:rPr>
                <w:sz w:val="21"/>
                <w:szCs w:val="21"/>
              </w:rPr>
            </w:pPr>
            <w:r>
              <w:rPr>
                <w:sz w:val="21"/>
                <w:szCs w:val="21"/>
              </w:rPr>
              <w:t>3.9</w:t>
            </w:r>
          </w:p>
        </w:tc>
        <w:tc>
          <w:tcPr>
            <w:vAlign w:val="center"/>
          </w:tcPr>
          <w:p>
            <w:pPr>
              <w:rPr>
                <w:sz w:val="21"/>
                <w:szCs w:val="21"/>
              </w:rPr>
            </w:pPr>
            <w:r>
              <w:rPr>
                <w:sz w:val="21"/>
                <w:szCs w:val="21"/>
              </w:rPr>
              <w:t>3.6</w:t>
            </w:r>
          </w:p>
        </w:tc>
        <w:tc>
          <w:tcPr>
            <w:vAlign w:val="center"/>
          </w:tcPr>
          <w:p>
            <w:pPr>
              <w:rPr>
                <w:sz w:val="21"/>
                <w:szCs w:val="21"/>
              </w:rPr>
            </w:pPr>
            <w:r>
              <w:rPr>
                <w:sz w:val="21"/>
                <w:szCs w:val="21"/>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20mm＋石墨聚苯板 70mm＋钢筋混凝土 200mm＋石灰砂浆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45.4</w:t>
            </w:r>
          </w:p>
        </w:tc>
        <w:tc>
          <w:tcPr>
            <w:vAlign w:val="center"/>
          </w:tcPr>
          <w:p>
            <w:pPr>
              <w:rPr>
                <w:sz w:val="21"/>
                <w:szCs w:val="21"/>
              </w:rPr>
            </w:pPr>
            <w:r>
              <w:rPr>
                <w:sz w:val="21"/>
                <w:szCs w:val="21"/>
              </w:rPr>
              <w:t>48.8</w:t>
            </w:r>
          </w:p>
        </w:tc>
        <w:tc>
          <w:tcPr>
            <w:vAlign w:val="center"/>
          </w:tcPr>
          <w:p>
            <w:pPr>
              <w:rPr>
                <w:sz w:val="21"/>
                <w:szCs w:val="21"/>
              </w:rPr>
            </w:pPr>
            <w:r>
              <w:rPr>
                <w:sz w:val="21"/>
                <w:szCs w:val="21"/>
              </w:rPr>
              <w:t>52.1</w:t>
            </w:r>
          </w:p>
        </w:tc>
        <w:tc>
          <w:tcPr>
            <w:vAlign w:val="center"/>
          </w:tcPr>
          <w:p>
            <w:pPr>
              <w:rPr>
                <w:sz w:val="21"/>
                <w:szCs w:val="21"/>
              </w:rPr>
            </w:pPr>
            <w:r>
              <w:rPr>
                <w:sz w:val="21"/>
                <w:szCs w:val="21"/>
              </w:rPr>
              <w:t>55.4</w:t>
            </w:r>
          </w:p>
        </w:tc>
        <w:tc>
          <w:tcPr>
            <w:vAlign w:val="center"/>
          </w:tcPr>
          <w:p>
            <w:pPr>
              <w:rPr>
                <w:sz w:val="21"/>
                <w:szCs w:val="21"/>
              </w:rPr>
            </w:pPr>
            <w:r>
              <w:rPr>
                <w:sz w:val="21"/>
                <w:szCs w:val="21"/>
              </w:rPr>
              <w:t>58.7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0.2</w:t>
            </w:r>
          </w:p>
        </w:tc>
        <w:tc>
          <w:tcPr>
            <w:vAlign w:val="center"/>
          </w:tcPr>
          <w:p>
            <w:pPr>
              <w:rPr>
                <w:sz w:val="21"/>
                <w:szCs w:val="21"/>
              </w:rPr>
            </w:pPr>
            <w:r>
              <w:rPr>
                <w:sz w:val="21"/>
                <w:szCs w:val="21"/>
              </w:rPr>
              <w:t>3.9</w:t>
            </w:r>
          </w:p>
        </w:tc>
        <w:tc>
          <w:tcPr>
            <w:vAlign w:val="center"/>
          </w:tcPr>
          <w:p>
            <w:pPr>
              <w:rPr>
                <w:sz w:val="21"/>
                <w:szCs w:val="21"/>
              </w:rPr>
            </w:pPr>
            <w:r>
              <w:rPr>
                <w:sz w:val="21"/>
                <w:szCs w:val="21"/>
              </w:rPr>
              <w:t>3.6</w:t>
            </w:r>
          </w:p>
        </w:tc>
        <w:tc>
          <w:tcPr>
            <w:vAlign w:val="center"/>
          </w:tcPr>
          <w:p>
            <w:pPr>
              <w:rPr>
                <w:sz w:val="21"/>
                <w:szCs w:val="21"/>
              </w:rPr>
            </w:pPr>
            <w:r>
              <w:rPr>
                <w:sz w:val="21"/>
                <w:szCs w:val="21"/>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20mm＋聚苯乙烯泡沫塑料（灰板） 15mm＋钢筋混凝土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41.1</w:t>
            </w:r>
          </w:p>
        </w:tc>
        <w:tc>
          <w:tcPr>
            <w:vAlign w:val="center"/>
          </w:tcPr>
          <w:p>
            <w:pPr>
              <w:rPr>
                <w:sz w:val="21"/>
                <w:szCs w:val="21"/>
              </w:rPr>
            </w:pPr>
            <w:r>
              <w:rPr>
                <w:sz w:val="21"/>
                <w:szCs w:val="21"/>
              </w:rPr>
              <w:t>44.4</w:t>
            </w:r>
          </w:p>
        </w:tc>
        <w:tc>
          <w:tcPr>
            <w:vAlign w:val="center"/>
          </w:tcPr>
          <w:p>
            <w:pPr>
              <w:rPr>
                <w:sz w:val="21"/>
                <w:szCs w:val="21"/>
              </w:rPr>
            </w:pPr>
            <w:r>
              <w:rPr>
                <w:sz w:val="21"/>
                <w:szCs w:val="21"/>
              </w:rPr>
              <w:t>47.7</w:t>
            </w:r>
          </w:p>
        </w:tc>
        <w:tc>
          <w:tcPr>
            <w:vAlign w:val="center"/>
          </w:tcPr>
          <w:p>
            <w:pPr>
              <w:rPr>
                <w:sz w:val="21"/>
                <w:szCs w:val="21"/>
              </w:rPr>
            </w:pPr>
            <w:r>
              <w:rPr>
                <w:sz w:val="21"/>
                <w:szCs w:val="21"/>
              </w:rPr>
              <w:t>51.0</w:t>
            </w:r>
          </w:p>
        </w:tc>
        <w:tc>
          <w:tcPr>
            <w:vAlign w:val="center"/>
          </w:tcPr>
          <w:p>
            <w:pPr>
              <w:rPr>
                <w:sz w:val="21"/>
                <w:szCs w:val="21"/>
              </w:rPr>
            </w:pPr>
            <w:r>
              <w:rPr>
                <w:sz w:val="21"/>
                <w:szCs w:val="21"/>
              </w:rPr>
              <w:t>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235"/>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住宅建筑中其他外窗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70系列内平开下悬铝合金窗[5Low-E+12A+5+12A+5]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夹层玻璃隔声窗</w:t>
            </w:r>
            <w:r>
              <w:rPr>
                <w:sz w:val="21"/>
                <w:szCs w:val="21"/>
              </w:rPr>
              <w:br w:type="textWrapping"/>
            </w: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5.0</w:t>
            </w:r>
          </w:p>
        </w:tc>
        <w:tc>
          <w:tcPr>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70系列内平开下悬铝合金窗[5Low-E+12A+5+12A+5]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夹层玻璃隔声窗</w:t>
            </w:r>
            <w:r>
              <w:rPr>
                <w:sz w:val="21"/>
                <w:szCs w:val="21"/>
              </w:rPr>
              <w:br w:type="textWrapping"/>
            </w: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5.0</w:t>
            </w:r>
          </w:p>
        </w:tc>
        <w:tc>
          <w:tcPr>
            <w:vAlign w:val="center"/>
          </w:tcPr>
          <w:p>
            <w:pPr>
              <w:rPr>
                <w:sz w:val="21"/>
                <w:szCs w:val="21"/>
              </w:rPr>
            </w:pPr>
            <w:r>
              <w:rPr>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bookmarkEnd w:id="24"/>
    <w:p>
      <w:pPr>
        <w:pStyle w:val="2"/>
      </w:pPr>
      <w:bookmarkStart w:id="48" w:name="_Toc24991"/>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构造参数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卧室的分户楼板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20mm＋聚苯乙烯泡沫塑料（灰板） 15mm＋钢筋混凝土 120mm＋石灰砂浆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pPr>
        <w:widowControl w:val="0"/>
        <w:snapToGrid/>
        <w:jc w:val="both"/>
        <w:rPr>
          <w:rFonts w:cstheme="minorBidi"/>
          <w:kern w:val="2"/>
          <w:sz w:val="21"/>
          <w:szCs w:val="22"/>
          <w:lang w:val="en-US"/>
        </w:rPr>
      </w:pPr>
    </w:p>
    <w:p>
      <w:pPr>
        <w:pStyle w:val="2"/>
        <w:rPr>
          <w:kern w:val="2"/>
        </w:rPr>
      </w:pPr>
      <w:bookmarkStart w:id="50" w:name="_Toc25628"/>
      <w:r>
        <w:rPr>
          <w:rFonts w:hint="eastAsia"/>
          <w:kern w:val="2"/>
        </w:rPr>
        <w:t>星级技术要求</w:t>
      </w:r>
      <w:bookmarkEnd w:id="50"/>
    </w:p>
    <w:p>
      <w:pPr>
        <w:pStyle w:val="4"/>
      </w:pPr>
      <w:bookmarkStart w:id="51" w:name="_Toc15557"/>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序号</w:t>
            </w:r>
          </w:p>
        </w:tc>
        <w:tc>
          <w:tcPr>
            <w:shd w:val="clear" w:color="auto" w:fill="E6E6E6"/>
            <w:vAlign w:val="center"/>
          </w:tcPr>
          <w:p>
            <w:pPr>
              <w:jc w:val="center"/>
              <w:rPr>
                <w:sz w:val="21"/>
                <w:szCs w:val="21"/>
              </w:rPr>
            </w:pPr>
            <w:r>
              <w:rPr>
                <w:sz w:val="21"/>
                <w:szCs w:val="21"/>
              </w:rPr>
              <w:t>房间</w:t>
            </w:r>
          </w:p>
        </w:tc>
        <w:tc>
          <w:tcPr>
            <w:shd w:val="clear" w:color="auto" w:fill="E6E6E6"/>
            <w:vAlign w:val="center"/>
          </w:tcPr>
          <w:p>
            <w:pPr>
              <w:jc w:val="center"/>
              <w:rPr>
                <w:sz w:val="21"/>
                <w:szCs w:val="21"/>
              </w:rPr>
            </w:pPr>
            <w:r>
              <w:rPr>
                <w:sz w:val="21"/>
                <w:szCs w:val="21"/>
              </w:rPr>
              <w:t>构造</w:t>
            </w:r>
          </w:p>
        </w:tc>
        <w:tc>
          <w:tcPr>
            <w:shd w:val="clear" w:color="auto" w:fill="E6E6E6"/>
            <w:vAlign w:val="center"/>
          </w:tcPr>
          <w:p>
            <w:pPr>
              <w:jc w:val="center"/>
              <w:rPr>
                <w:sz w:val="21"/>
                <w:szCs w:val="21"/>
              </w:rPr>
            </w:pPr>
            <w:r>
              <w:rPr>
                <w:sz w:val="21"/>
                <w:szCs w:val="21"/>
              </w:rPr>
              <w:t>面积</w:t>
            </w:r>
          </w:p>
        </w:tc>
        <w:tc>
          <w:tcPr>
            <w:shd w:val="clear" w:color="auto" w:fill="E6E6E6"/>
            <w:vAlign w:val="center"/>
          </w:tcPr>
          <w:p>
            <w:pPr>
              <w:jc w:val="center"/>
              <w:rPr>
                <w:sz w:val="21"/>
                <w:szCs w:val="21"/>
              </w:rPr>
            </w:pPr>
            <w:r>
              <w:rPr>
                <w:sz w:val="21"/>
                <w:szCs w:val="21"/>
              </w:rPr>
              <w:t>隔声量</w:t>
            </w:r>
          </w:p>
        </w:tc>
        <w:tc>
          <w:tcPr>
            <w:shd w:val="clear" w:color="auto" w:fill="E6E6E6"/>
            <w:vAlign w:val="center"/>
          </w:tcPr>
          <w:p>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pPr>
              <w:jc w:val="center"/>
              <w:rPr>
                <w:sz w:val="21"/>
                <w:szCs w:val="21"/>
              </w:rPr>
            </w:pPr>
            <w:r>
              <w:rPr>
                <w:sz w:val="21"/>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1</w:t>
            </w:r>
          </w:p>
        </w:tc>
        <w:tc>
          <w:tcPr>
            <w:vMerge w:val="restart"/>
            <w:vAlign w:val="center"/>
          </w:tcPr>
          <w:p>
            <w:pPr>
              <w:jc w:val="center"/>
              <w:rPr>
                <w:sz w:val="21"/>
                <w:szCs w:val="21"/>
              </w:rPr>
            </w:pPr>
            <w:r>
              <w:rPr>
                <w:sz w:val="21"/>
                <w:szCs w:val="21"/>
              </w:rPr>
              <w:t>3100</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4.2</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二星级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外窗(C2321)</w:t>
            </w:r>
          </w:p>
        </w:tc>
        <w:tc>
          <w:tcPr>
            <w:vAlign w:val="center"/>
          </w:tcPr>
          <w:p>
            <w:pPr>
              <w:jc w:val="center"/>
              <w:rPr>
                <w:sz w:val="21"/>
                <w:szCs w:val="21"/>
              </w:rPr>
            </w:pPr>
            <w:r>
              <w:rPr>
                <w:sz w:val="21"/>
                <w:szCs w:val="21"/>
              </w:rPr>
              <w:t>4.8</w:t>
            </w:r>
          </w:p>
        </w:tc>
        <w:tc>
          <w:tcPr>
            <w:vAlign w:val="center"/>
          </w:tcPr>
          <w:p>
            <w:pPr>
              <w:jc w:val="center"/>
              <w:rPr>
                <w:sz w:val="21"/>
                <w:szCs w:val="21"/>
              </w:rPr>
            </w:pPr>
            <w:r>
              <w:rPr>
                <w:sz w:val="21"/>
                <w:szCs w:val="21"/>
              </w:rPr>
              <w:t>33</w:t>
            </w:r>
          </w:p>
        </w:tc>
        <w:tc>
          <w:tcPr>
            <w:vMerge w:val="continue"/>
            <w:vAlign w:val="center"/>
          </w:tcPr>
          <w:p>
            <w:pPr>
              <w:jc w:val="center"/>
              <w:rPr>
                <w:sz w:val="21"/>
                <w:szCs w:val="21"/>
              </w:rPr>
            </w:pP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2</w:t>
            </w:r>
          </w:p>
        </w:tc>
        <w:tc>
          <w:tcPr>
            <w:vMerge w:val="restart"/>
            <w:vAlign w:val="center"/>
          </w:tcPr>
          <w:p>
            <w:pPr>
              <w:jc w:val="center"/>
              <w:rPr>
                <w:sz w:val="21"/>
                <w:szCs w:val="21"/>
              </w:rPr>
            </w:pPr>
            <w:r>
              <w:rPr>
                <w:sz w:val="21"/>
                <w:szCs w:val="21"/>
              </w:rPr>
              <w:t>3050</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4.3</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二星级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外窗(C2421)</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33</w:t>
            </w:r>
          </w:p>
        </w:tc>
        <w:tc>
          <w:tcPr>
            <w:vMerge w:val="continue"/>
            <w:vAlign w:val="center"/>
          </w:tcPr>
          <w:p>
            <w:pPr>
              <w:jc w:val="center"/>
              <w:rPr>
                <w:sz w:val="21"/>
                <w:szCs w:val="21"/>
              </w:rPr>
            </w:pP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3</w:t>
            </w:r>
          </w:p>
        </w:tc>
        <w:tc>
          <w:tcPr>
            <w:vMerge w:val="restart"/>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4.3</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二星级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外窗(JYC2421)</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33</w:t>
            </w:r>
          </w:p>
        </w:tc>
        <w:tc>
          <w:tcPr>
            <w:vMerge w:val="continue"/>
            <w:vAlign w:val="center"/>
          </w:tcPr>
          <w:p>
            <w:pPr>
              <w:jc w:val="center"/>
              <w:rPr>
                <w:sz w:val="21"/>
                <w:szCs w:val="21"/>
              </w:rPr>
            </w:pP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4</w:t>
            </w:r>
          </w:p>
        </w:tc>
        <w:tc>
          <w:tcPr>
            <w:vMerge w:val="restart"/>
            <w:vAlign w:val="center"/>
          </w:tcPr>
          <w:p>
            <w:pPr>
              <w:jc w:val="center"/>
              <w:rPr>
                <w:sz w:val="21"/>
                <w:szCs w:val="21"/>
              </w:rPr>
            </w:pPr>
            <w:r>
              <w:rPr>
                <w:sz w:val="21"/>
                <w:szCs w:val="21"/>
              </w:rPr>
              <w:t>3106</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二星级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外窗(C1721)</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33</w:t>
            </w:r>
          </w:p>
        </w:tc>
        <w:tc>
          <w:tcPr>
            <w:vMerge w:val="continue"/>
            <w:vAlign w:val="center"/>
          </w:tcPr>
          <w:p>
            <w:pPr>
              <w:jc w:val="center"/>
              <w:rPr>
                <w:sz w:val="21"/>
                <w:szCs w:val="21"/>
              </w:rPr>
            </w:pPr>
          </w:p>
        </w:tc>
        <w:tc>
          <w:tcPr>
            <w:vMerge w:val="continue"/>
            <w:vAlign w:val="center"/>
          </w:tcPr>
          <w:p>
            <w:pPr>
              <w:jc w:val="center"/>
              <w:rPr>
                <w:sz w:val="21"/>
                <w:szCs w:val="21"/>
              </w:rPr>
            </w:pPr>
          </w:p>
        </w:tc>
      </w:tr>
    </w:tbl>
    <w:p>
      <w:pPr>
        <w:pStyle w:val="3"/>
        <w:jc w:val="center"/>
        <w:rPr>
          <w:lang w:val="en-US"/>
        </w:rPr>
      </w:pPr>
      <w:bookmarkStart w:id="52" w:name="组合墙星级评价表"/>
      <w:bookmarkEnd w:id="52"/>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3" w:name="_Toc26780"/>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pPr>
        <w:pStyle w:val="3"/>
        <w:ind w:firstLine="420"/>
        <w:jc w:val="center"/>
        <w:rPr>
          <w:lang w:val="en-US"/>
        </w:rPr>
      </w:pPr>
      <w:bookmarkStart w:id="54" w:name="分户墙星级评价表"/>
      <w:bookmarkEnd w:id="54"/>
    </w:p>
    <w:p>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pPr>
        <w:pStyle w:val="2"/>
      </w:pPr>
      <w:bookmarkStart w:id="55" w:name="_Toc278"/>
      <w:r>
        <w:rPr>
          <w:rFonts w:hint="eastAsia"/>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卧室墙</w:t>
            </w:r>
          </w:p>
        </w:tc>
        <w:tc>
          <w:tcPr>
            <w:vAlign w:val="center"/>
          </w:tcPr>
          <w:p>
            <w:pPr>
              <w:rPr>
                <w:sz w:val="21"/>
                <w:szCs w:val="21"/>
              </w:rPr>
            </w:pPr>
            <w:r>
              <w:rPr>
                <w:b/>
                <w:sz w:val="21"/>
                <w:szCs w:val="21"/>
              </w:rPr>
              <w:t>45</w:t>
            </w:r>
          </w:p>
        </w:tc>
        <w:tc>
          <w:tcPr>
            <w:vAlign w:val="center"/>
          </w:tcPr>
          <w:p>
            <w:pPr>
              <w:rPr>
                <w:sz w:val="21"/>
                <w:szCs w:val="21"/>
              </w:rPr>
            </w:pPr>
            <w:r>
              <w:rPr>
                <w:sz w:val="21"/>
                <w:szCs w:val="21"/>
              </w:rPr>
              <w:t>低限:≥35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分户楼板</w:t>
            </w:r>
          </w:p>
        </w:tc>
        <w:tc>
          <w:tcPr>
            <w:vAlign w:val="center"/>
          </w:tcPr>
          <w:p>
            <w:pPr>
              <w:rPr>
                <w:sz w:val="21"/>
                <w:szCs w:val="21"/>
              </w:rPr>
            </w:pPr>
            <w:r>
              <w:rPr>
                <w:b/>
                <w:sz w:val="21"/>
                <w:szCs w:val="21"/>
              </w:rPr>
              <w:t>51</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住宅建筑中其他外窗</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办公室(办公建筑)外窗</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计权规范化撞击声压级</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卧室的分户楼板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bl>
    <w:p>
      <w:bookmarkStart w:id="57" w:name="撞击声隔声性能统计"/>
      <w:bookmarkEnd w:id="5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rPr>
                <w:sz w:val="21"/>
                <w:szCs w:val="21"/>
              </w:rPr>
            </w:pPr>
            <w:r>
              <w:rPr>
                <w:sz w:val="21"/>
                <w:szCs w:val="21"/>
              </w:rPr>
              <w:t>构件</w:t>
            </w:r>
          </w:p>
        </w:tc>
        <w:tc>
          <w:tcPr>
            <w:tcW w:w="2547" w:type="dxa"/>
            <w:shd w:val="clear" w:color="auto" w:fill="E6E6E6"/>
          </w:tcPr>
          <w:p>
            <w:pPr>
              <w:jc w:val="center"/>
              <w:rPr>
                <w:sz w:val="21"/>
                <w:szCs w:val="21"/>
              </w:rPr>
            </w:pPr>
            <w:r>
              <w:rPr>
                <w:sz w:val="21"/>
                <w:szCs w:val="21"/>
              </w:rPr>
              <w:t>单值评价量+频谱修正量</w:t>
            </w:r>
          </w:p>
        </w:tc>
        <w:tc>
          <w:tcPr>
            <w:tcW w:w="2689" w:type="dxa"/>
            <w:shd w:val="clear" w:color="auto" w:fill="E6E6E6"/>
            <w:vAlign w:val="center"/>
          </w:tcPr>
          <w:p>
            <w:pPr>
              <w:jc w:val="center"/>
              <w:rPr>
                <w:sz w:val="21"/>
                <w:szCs w:val="21"/>
              </w:rPr>
            </w:pPr>
            <w:r>
              <w:rPr>
                <w:sz w:val="21"/>
                <w:szCs w:val="21"/>
              </w:rPr>
              <w:t>标准限值</w:t>
            </w:r>
          </w:p>
        </w:tc>
        <w:tc>
          <w:tcPr>
            <w:tcW w:w="1709" w:type="dxa"/>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rPr>
                <w:sz w:val="21"/>
                <w:szCs w:val="21"/>
              </w:rPr>
            </w:pPr>
            <w:r>
              <w:rPr>
                <w:rFonts w:hint="eastAsia"/>
                <w:sz w:val="21"/>
                <w:szCs w:val="21"/>
              </w:rPr>
              <w:t>室外与卧室之间</w:t>
            </w:r>
          </w:p>
        </w:tc>
        <w:tc>
          <w:tcPr>
            <w:tcW w:w="2547" w:type="dxa"/>
            <w:vAlign w:val="center"/>
          </w:tcPr>
          <w:p>
            <w:pPr>
              <w:rPr>
                <w:b/>
                <w:sz w:val="21"/>
                <w:szCs w:val="21"/>
              </w:rPr>
            </w:pPr>
            <w:bookmarkStart w:id="58" w:name="组合墙星级评价隔声量"/>
            <w:r>
              <w:rPr>
                <w:b/>
                <w:sz w:val="21"/>
                <w:szCs w:val="21"/>
              </w:rPr>
              <w:t>36</w:t>
            </w:r>
            <w:bookmarkEnd w:id="58"/>
          </w:p>
        </w:tc>
        <w:tc>
          <w:tcPr>
            <w:tcW w:w="2689" w:type="dxa"/>
            <w:vAlign w:val="center"/>
          </w:tcPr>
          <w:p>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pPr>
              <w:jc w:val="center"/>
              <w:rPr>
                <w:b/>
                <w:sz w:val="21"/>
                <w:szCs w:val="21"/>
                <w:highlight w:val="yellow"/>
                <w:lang w:val="en-US"/>
              </w:rPr>
            </w:pPr>
            <w:bookmarkStart w:id="59" w:name="组合墙星级评价结论"/>
            <w:r>
              <w:rPr>
                <w:b/>
                <w:sz w:val="21"/>
                <w:szCs w:val="21"/>
              </w:rPr>
              <w:t>二星级</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rPr>
                <w:sz w:val="21"/>
                <w:szCs w:val="21"/>
              </w:rPr>
            </w:pPr>
            <w:r>
              <w:rPr>
                <w:rFonts w:hint="eastAsia"/>
                <w:sz w:val="21"/>
                <w:szCs w:val="21"/>
              </w:rPr>
              <w:t>分户墙两侧卧室之间</w:t>
            </w:r>
          </w:p>
        </w:tc>
        <w:tc>
          <w:tcPr>
            <w:tcW w:w="2547" w:type="dxa"/>
            <w:vAlign w:val="center"/>
          </w:tcPr>
          <w:p>
            <w:pPr>
              <w:rPr>
                <w:b/>
                <w:sz w:val="21"/>
                <w:szCs w:val="21"/>
              </w:rPr>
            </w:pPr>
            <w:bookmarkStart w:id="60" w:name="分户墙星级评价隔声量"/>
            <w:r>
              <w:rPr>
                <w:b/>
                <w:sz w:val="21"/>
                <w:szCs w:val="21"/>
              </w:rPr>
              <w:t>--</w:t>
            </w:r>
            <w:bookmarkEnd w:id="60"/>
          </w:p>
        </w:tc>
        <w:tc>
          <w:tcPr>
            <w:tcW w:w="2689" w:type="dxa"/>
            <w:vAlign w:val="center"/>
          </w:tcPr>
          <w:p>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pPr>
              <w:jc w:val="center"/>
              <w:rPr>
                <w:b/>
                <w:sz w:val="21"/>
                <w:szCs w:val="21"/>
                <w:highlight w:val="yellow"/>
                <w:lang w:val="en-US"/>
              </w:rPr>
            </w:pPr>
            <w:bookmarkStart w:id="61" w:name="分户墙星级评价结论"/>
            <w:r>
              <w:rPr>
                <w:b/>
                <w:sz w:val="21"/>
                <w:szCs w:val="21"/>
              </w:rPr>
              <w:t>--</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rPr>
                <w:sz w:val="21"/>
                <w:szCs w:val="21"/>
              </w:rPr>
            </w:pPr>
            <w:r>
              <w:rPr>
                <w:sz w:val="21"/>
                <w:szCs w:val="21"/>
              </w:rPr>
              <w:t>构件</w:t>
            </w:r>
          </w:p>
        </w:tc>
        <w:tc>
          <w:tcPr>
            <w:tcW w:w="2547" w:type="dxa"/>
            <w:shd w:val="clear" w:color="auto" w:fill="E7E6E6" w:themeFill="background2"/>
          </w:tcPr>
          <w:p>
            <w:pPr>
              <w:jc w:val="center"/>
              <w:rPr>
                <w:b/>
                <w:sz w:val="21"/>
                <w:szCs w:val="21"/>
              </w:rPr>
            </w:pPr>
            <w:r>
              <w:rPr>
                <w:sz w:val="21"/>
                <w:szCs w:val="21"/>
              </w:rPr>
              <w:t>计权规范化撞击声压级</w:t>
            </w:r>
          </w:p>
        </w:tc>
        <w:tc>
          <w:tcPr>
            <w:tcW w:w="2689" w:type="dxa"/>
            <w:shd w:val="clear" w:color="auto" w:fill="E7E6E6" w:themeFill="background2"/>
            <w:vAlign w:val="center"/>
          </w:tcPr>
          <w:p>
            <w:pPr>
              <w:jc w:val="center"/>
              <w:rPr>
                <w:sz w:val="21"/>
                <w:szCs w:val="21"/>
              </w:rPr>
            </w:pPr>
            <w:r>
              <w:rPr>
                <w:sz w:val="21"/>
                <w:szCs w:val="21"/>
              </w:rPr>
              <w:t>标准限值</w:t>
            </w:r>
          </w:p>
        </w:tc>
        <w:tc>
          <w:tcPr>
            <w:tcW w:w="1709" w:type="dxa"/>
            <w:shd w:val="clear" w:color="auto" w:fill="E7E6E6" w:themeFill="background2"/>
            <w:vAlign w:val="center"/>
          </w:tcPr>
          <w:p>
            <w:pPr>
              <w:jc w:val="center"/>
              <w:rPr>
                <w:kern w:val="2"/>
                <w:sz w:val="21"/>
                <w:szCs w:val="21"/>
                <w:highlight w:val="yellow"/>
                <w:lang w:val="en-US"/>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rPr>
                <w:sz w:val="21"/>
                <w:szCs w:val="21"/>
              </w:rPr>
            </w:pPr>
            <w:r>
              <w:rPr>
                <w:sz w:val="21"/>
                <w:szCs w:val="21"/>
              </w:rPr>
              <w:t>卧室的分户楼板</w:t>
            </w:r>
          </w:p>
        </w:tc>
        <w:tc>
          <w:tcPr>
            <w:tcW w:w="2547" w:type="dxa"/>
            <w:vAlign w:val="center"/>
          </w:tcPr>
          <w:p>
            <w:pPr>
              <w:rPr>
                <w:b/>
                <w:sz w:val="21"/>
                <w:szCs w:val="21"/>
              </w:rPr>
            </w:pPr>
            <w:bookmarkStart w:id="62" w:name="分户楼板星级评价撞击声压级"/>
            <w:r>
              <w:rPr>
                <w:b/>
                <w:sz w:val="21"/>
                <w:szCs w:val="21"/>
              </w:rPr>
              <w:t>55</w:t>
            </w:r>
            <w:bookmarkEnd w:id="62"/>
          </w:p>
        </w:tc>
        <w:tc>
          <w:tcPr>
            <w:tcW w:w="2689" w:type="dxa"/>
            <w:vAlign w:val="center"/>
          </w:tcPr>
          <w:p>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pPr>
              <w:jc w:val="center"/>
              <w:rPr>
                <w:b/>
                <w:sz w:val="21"/>
                <w:szCs w:val="21"/>
                <w:highlight w:val="yellow"/>
                <w:lang w:val="en-US"/>
              </w:rPr>
            </w:pPr>
            <w:bookmarkStart w:id="63" w:name="分户楼板星级评价结论"/>
            <w:r>
              <w:rPr>
                <w:b/>
                <w:sz w:val="21"/>
                <w:szCs w:val="21"/>
              </w:rPr>
              <w:t>三星级</w:t>
            </w:r>
            <w:bookmarkEnd w:id="63"/>
          </w:p>
        </w:tc>
      </w:tr>
    </w:tbl>
    <w:p>
      <w:pPr>
        <w:pStyle w:val="3"/>
        <w:spacing w:before="240"/>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sz w:val="21"/>
                <w:szCs w:val="21"/>
              </w:rPr>
            </w:pPr>
            <w:r>
              <w:rPr>
                <w:bCs/>
                <w:sz w:val="21"/>
                <w:szCs w:val="21"/>
              </w:rPr>
              <w:t>检查项</w:t>
            </w:r>
          </w:p>
        </w:tc>
        <w:tc>
          <w:tcPr>
            <w:tcW w:w="5812" w:type="dxa"/>
            <w:shd w:val="clear" w:color="auto" w:fill="E6E6E6"/>
          </w:tcPr>
          <w:p>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pPr>
              <w:contextualSpacing/>
              <w:jc w:val="center"/>
              <w:rPr>
                <w:bCs/>
                <w:sz w:val="21"/>
                <w:szCs w:val="21"/>
              </w:rPr>
            </w:pPr>
            <w:r>
              <w:rPr>
                <w:bCs/>
                <w:sz w:val="21"/>
                <w:szCs w:val="21"/>
              </w:rPr>
              <w:t>结论</w:t>
            </w:r>
          </w:p>
        </w:tc>
        <w:tc>
          <w:tcPr>
            <w:tcW w:w="737" w:type="dxa"/>
            <w:shd w:val="clear" w:color="auto" w:fill="E6E6E6"/>
            <w:vAlign w:val="center"/>
          </w:tcPr>
          <w:p>
            <w:pPr>
              <w:contextualSpacing/>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pPr>
            <w:r>
              <w:rPr>
                <w:rFonts w:hint="eastAsia"/>
              </w:rPr>
              <w:t>空气声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pPr>
              <w:jc w:val="center"/>
              <w:rPr>
                <w:b/>
                <w:sz w:val="21"/>
                <w:szCs w:val="21"/>
                <w:lang w:val="en-US"/>
              </w:rPr>
            </w:pP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pPr>
              <w:jc w:val="center"/>
              <w:rPr>
                <w:b/>
                <w:sz w:val="21"/>
                <w:szCs w:val="21"/>
                <w:lang w:val="en-US"/>
              </w:rPr>
            </w:pPr>
            <w:bookmarkStart w:id="65" w:name="空气声评分项结论"/>
            <w:r>
              <w:rPr>
                <w:rFonts w:hint="eastAsia"/>
                <w:b/>
                <w:sz w:val="21"/>
                <w:szCs w:val="21"/>
                <w:lang w:val="en-US"/>
              </w:rPr>
              <w:t>满足高要求</w:t>
            </w:r>
            <w:bookmarkEnd w:id="65"/>
          </w:p>
        </w:tc>
        <w:tc>
          <w:tcPr>
            <w:tcW w:w="737" w:type="dxa"/>
            <w:vAlign w:val="center"/>
          </w:tcPr>
          <w:p>
            <w:pPr>
              <w:jc w:val="center"/>
              <w:rPr>
                <w:b/>
                <w:sz w:val="21"/>
                <w:szCs w:val="21"/>
                <w:lang w:val="en-US"/>
              </w:rPr>
            </w:pPr>
            <w:bookmarkStart w:id="66" w:name="空气声得分"/>
            <w:r>
              <w:rPr>
                <w:rFonts w:hint="eastAsia"/>
                <w:b/>
                <w:sz w:val="21"/>
                <w:szCs w:val="21"/>
                <w:lang w:val="en-US"/>
              </w:rPr>
              <w:t>5</w:t>
            </w:r>
            <w:bookmarkEnd w:id="66"/>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pPr>
            <w:r>
              <w:rPr>
                <w:rFonts w:hint="eastAsia"/>
              </w:rPr>
              <w:t>撞击声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pPr>
            <w:r>
              <w:rPr>
                <w:rFonts w:hint="eastAsia"/>
              </w:rPr>
              <w:t>住宅建筑</w:t>
            </w:r>
          </w:p>
          <w:p>
            <w:pPr>
              <w:pStyle w:val="3"/>
              <w:jc w:val="center"/>
            </w:pPr>
            <w:r>
              <w:rPr>
                <w:rFonts w:hint="eastAsia"/>
              </w:rPr>
              <w:t>隔声性能</w:t>
            </w:r>
          </w:p>
        </w:tc>
        <w:tc>
          <w:tcPr>
            <w:tcW w:w="5812" w:type="dxa"/>
          </w:tcPr>
          <w:p>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pPr>
              <w:jc w:val="center"/>
              <w:rPr>
                <w:b/>
                <w:sz w:val="21"/>
                <w:szCs w:val="21"/>
                <w:lang w:val="en-US"/>
              </w:rPr>
            </w:pPr>
            <w:bookmarkStart w:id="70" w:name="星级评价总结论"/>
            <w:r>
              <w:rPr>
                <w:rFonts w:hint="eastAsia"/>
                <w:b/>
                <w:sz w:val="21"/>
                <w:szCs w:val="21"/>
                <w:lang w:val="en-US"/>
              </w:rPr>
              <w:t>二星级</w:t>
            </w:r>
            <w:bookmarkEnd w:id="70"/>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YWVhMmJmNWRjN2EzZWQ3ZDJiMzk1MjI0ZGU5ZjkifQ=="/>
  </w:docVars>
  <w:rsids>
    <w:rsidRoot w:val="4B570B78"/>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4B57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61;&#2800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tmp2.dotx</Template>
  <Pages>15</Pages>
  <Words>6315</Words>
  <Characters>7820</Characters>
  <Lines>58</Lines>
  <Paragraphs>16</Paragraphs>
  <TotalTime>4</TotalTime>
  <ScaleCrop>false</ScaleCrop>
  <LinksUpToDate>false</LinksUpToDate>
  <CharactersWithSpaces>10027</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2024-12-26T00:40:00Z</dcterms:created>
  <dc:creator>A HAPPY BOY</dc:creator>
  <cp:lastModifiedBy>A HAPPY BOY</cp:lastModifiedBy>
  <dcterms:modified xsi:type="dcterms:W3CDTF">2024-12-26T00:44:24Z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90B913E14CCD408C9F5E5DBCB854FC8A_11</vt:lpwstr>
  </property>
  <property fmtid="{D5CDD505-2E9C-101B-9397-08002B2CF9AE}" pid="3" name="KSOProductBuildVer">
    <vt:lpwstr>2052-11.1.0.15320</vt:lpwstr>
  </property>
</Properties>
</file>