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瓷韵空间——非遗文脉传承背景下的绿色低碳陶瓷产业博览文化综合体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65887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65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项目地址：光明大道与发展路交汇处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报告日期：2025年3月16日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项目名称：瓷韵空间——非遗文脉传承背景下的绿色低碳陶瓷产业博览文化综合体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围护结构提高10.06%或负荷降低3.21%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26.7%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应用比例82.153%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全寿命期单位建筑面积碳排放强为34.94kgCO2/（m2·a）减碳率22.290%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1005.0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