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:rsidR="00773F5E" w:rsidRDefault="00773F5E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:rsidR="00773F5E" w:rsidRDefault="00AF61D6" w:rsidP="00AF61D6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 w:rsidRPr="00AF61D6">
            <w:rPr>
              <w:rFonts w:asciiTheme="majorEastAsia" w:eastAsiaTheme="majorEastAsia" w:hAnsiTheme="majorEastAsia" w:cstheme="majorEastAsia" w:hint="eastAsia"/>
              <w:b/>
              <w:bCs/>
              <w:sz w:val="36"/>
              <w:szCs w:val="32"/>
            </w:rPr>
            <w:t>阳光苗圃——拥抱童真的幼儿园设计</w:t>
          </w:r>
        </w:p>
        <w:p w:rsidR="00773F5E" w:rsidRDefault="00274FA0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预制构件用量比例计算书</w:t>
          </w:r>
        </w:p>
        <w:p w:rsidR="00773F5E" w:rsidRDefault="00773F5E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:rsidR="00773F5E" w:rsidRDefault="00773F5E">
          <w:pPr>
            <w:jc w:val="center"/>
            <w:rPr>
              <w:lang w:val="zh-CN"/>
            </w:rPr>
          </w:pPr>
        </w:p>
        <w:p w:rsidR="00773F5E" w:rsidRDefault="00773F5E">
          <w:pPr>
            <w:jc w:val="center"/>
            <w:rPr>
              <w:lang w:val="zh-CN"/>
            </w:rPr>
          </w:pPr>
        </w:p>
        <w:p w:rsidR="00773F5E" w:rsidRDefault="00773F5E">
          <w:pPr>
            <w:jc w:val="center"/>
            <w:rPr>
              <w:lang w:val="zh-CN"/>
            </w:rPr>
          </w:pPr>
        </w:p>
        <w:p w:rsidR="00773F5E" w:rsidRDefault="00773F5E">
          <w:pPr>
            <w:rPr>
              <w:lang w:val="zh-CN"/>
            </w:rPr>
          </w:pPr>
        </w:p>
        <w:p w:rsidR="00773F5E" w:rsidRDefault="00773F5E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:rsidR="00773F5E" w:rsidRDefault="00773F5E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:rsidR="00773F5E" w:rsidRDefault="00773F5E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:rsidR="00773F5E" w:rsidRDefault="00773F5E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:rsidR="00773F5E" w:rsidRDefault="00773F5E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:rsidR="00773F5E" w:rsidRDefault="00773F5E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:rsidR="00773F5E" w:rsidRDefault="00773F5E">
          <w:pPr>
            <w:pStyle w:val="a4"/>
            <w:rPr>
              <w:rFonts w:ascii="黑体" w:eastAsia="黑体"/>
              <w:sz w:val="30"/>
              <w:szCs w:val="30"/>
            </w:rPr>
          </w:pPr>
        </w:p>
        <w:p w:rsidR="00773F5E" w:rsidRDefault="00773F5E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:rsidR="00773F5E" w:rsidRDefault="00274FA0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北京绿建软件股份有限公司</w:t>
          </w:r>
        </w:p>
        <w:p w:rsidR="00773F5E" w:rsidRDefault="00274FA0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202</w:t>
          </w:r>
          <w:r>
            <w:rPr>
              <w:rFonts w:ascii="Times New Roman" w:eastAsia="黑体" w:hAnsi="Times New Roman" w:cs="Times New Roman" w:hint="eastAsia"/>
              <w:sz w:val="30"/>
              <w:szCs w:val="30"/>
            </w:rPr>
            <w:t>4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3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:rsidR="00773F5E" w:rsidRDefault="00773F5E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:rsidR="00773F5E" w:rsidRDefault="00773F5E">
          <w:pPr>
            <w:jc w:val="center"/>
            <w:rPr>
              <w:rFonts w:ascii="宋体" w:eastAsia="宋体" w:hAnsi="宋体"/>
            </w:rPr>
            <w:sectPr w:rsidR="00773F5E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:rsidR="00773F5E" w:rsidRDefault="00274FA0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:rsidR="00773F5E" w:rsidRDefault="00274FA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5429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_Toc5429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:rsidR="00773F5E" w:rsidRDefault="00274FA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636" w:history="1"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2.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评价方法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_Toc2636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:rsidR="00773F5E" w:rsidRDefault="00274FA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8318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计算过程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_Toc18318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:rsidR="00773F5E" w:rsidRDefault="00274FA0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0388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结论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_Toc20388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:rsidR="00773F5E" w:rsidRDefault="00274FA0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:rsidR="00773F5E" w:rsidRDefault="00773F5E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:rsidR="00773F5E" w:rsidRDefault="00773F5E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773F5E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bookmarkStart w:id="0" w:name="_Toc5429"/>
        </w:p>
        <w:p w:rsidR="00773F5E" w:rsidRDefault="00274FA0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sz w:val="24"/>
              <w:szCs w:val="24"/>
              <w:highlight w:val="yellow"/>
              <w:lang w:eastAsia="zh-CN"/>
            </w:rPr>
          </w:pP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1.</w:t>
          </w: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:rsidR="00773F5E" w:rsidRPr="00A166CC" w:rsidRDefault="00A166CC">
          <w:pPr>
            <w:pStyle w:val="a0"/>
            <w:ind w:firstLineChars="0" w:firstLine="0"/>
            <w:rPr>
              <w:kern w:val="0"/>
              <w:sz w:val="24"/>
              <w:szCs w:val="24"/>
              <w:lang w:val="en-US"/>
            </w:rPr>
          </w:pPr>
          <w:bookmarkStart w:id="1" w:name="_GoBack"/>
          <w:r w:rsidRPr="00A166CC">
            <w:rPr>
              <w:rFonts w:hint="eastAsia"/>
              <w:kern w:val="0"/>
              <w:sz w:val="24"/>
              <w:szCs w:val="24"/>
              <w:lang w:val="en-US"/>
            </w:rPr>
            <w:t>场地地处陕西省西安市，建筑气候分区为寒冷地区。</w:t>
          </w:r>
          <w:proofErr w:type="gramStart"/>
          <w:r w:rsidRPr="00A166CC">
            <w:rPr>
              <w:rFonts w:hint="eastAsia"/>
              <w:kern w:val="0"/>
              <w:sz w:val="24"/>
              <w:szCs w:val="24"/>
              <w:lang w:val="en-US"/>
            </w:rPr>
            <w:t>地块位</w:t>
          </w:r>
          <w:proofErr w:type="gramEnd"/>
          <w:r w:rsidRPr="00A166CC">
            <w:rPr>
              <w:rFonts w:hint="eastAsia"/>
              <w:kern w:val="0"/>
              <w:sz w:val="24"/>
              <w:szCs w:val="24"/>
              <w:lang w:val="en-US"/>
            </w:rPr>
            <w:t>处长安北路于二环南路交界处，处于市中心，周边高层建筑林立，场地上原本的幼儿园，由于建设时间较早，建筑不能满足基本的采光需求，且能耗较高，故本次设计决定对原有建筑进行更新重建。项目以阳光苗圃，拥抱童真为设计理念，致力于打造一个灵动、生态、安全的儿童成长乐园。设计使自然渗透</w:t>
          </w:r>
          <w:proofErr w:type="gramStart"/>
          <w:r w:rsidRPr="00A166CC">
            <w:rPr>
              <w:rFonts w:hint="eastAsia"/>
              <w:kern w:val="0"/>
              <w:sz w:val="24"/>
              <w:szCs w:val="24"/>
              <w:lang w:val="en-US"/>
            </w:rPr>
            <w:t>进建筑</w:t>
          </w:r>
          <w:proofErr w:type="gramEnd"/>
          <w:r w:rsidRPr="00A166CC">
            <w:rPr>
              <w:rFonts w:hint="eastAsia"/>
              <w:kern w:val="0"/>
              <w:sz w:val="24"/>
              <w:szCs w:val="24"/>
              <w:lang w:val="en-US"/>
            </w:rPr>
            <w:t>的同时实现了建筑能耗的降低，绿色理念与阳光融合，为儿童营造出舒适的成长空间，让童真在阳光苗圃尽情绽放。</w:t>
          </w:r>
        </w:p>
        <w:p w:rsidR="00773F5E" w:rsidRDefault="00274FA0">
          <w:pPr>
            <w:pStyle w:val="1"/>
            <w:numPr>
              <w:ilvl w:val="0"/>
              <w:numId w:val="1"/>
            </w:numPr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2" w:name="_Toc2636"/>
          <w:bookmarkEnd w:id="1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2"/>
        </w:p>
        <w:p w:rsidR="00773F5E" w:rsidRDefault="00274FA0">
          <w:pPr>
            <w:pStyle w:val="ab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>
            <w:rPr>
              <w:rFonts w:ascii="Times New Roman" w:hAnsi="Times New Roman" w:cs="Times New Roman" w:hint="eastAsia"/>
            </w:rPr>
            <w:t>GB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 w:hint="eastAsia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>
            <w:rPr>
              <w:rFonts w:ascii="Times New Roman" w:hAnsi="Times New Roman" w:cs="Times New Roman" w:hint="eastAsia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>
            <w:rPr>
              <w:rFonts w:ascii="Times New Roman" w:hAnsi="Times New Roman" w:cs="Times New Roman" w:hint="eastAsia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>
            <w:rPr>
              <w:rFonts w:ascii="Times New Roman" w:hAnsi="Times New Roman" w:cs="Times New Roman" w:hint="eastAsia"/>
              <w:b/>
              <w:bCs/>
            </w:rPr>
            <w:t>主体结构采用装配式混凝土结构，地上部分预制构件应用混凝土体积占混凝土总体积的比例达到</w:t>
          </w:r>
          <w:r>
            <w:rPr>
              <w:rFonts w:ascii="Times New Roman" w:hAnsi="Times New Roman" w:cs="Times New Roman" w:hint="eastAsia"/>
              <w:b/>
              <w:bCs/>
            </w:rPr>
            <w:t>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>
            <w:rPr>
              <w:rFonts w:ascii="Times New Roman" w:hAnsi="Times New Roman" w:cs="Times New Roman" w:hint="eastAsia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>
            <w:rPr>
              <w:rFonts w:ascii="Times New Roman" w:hAnsi="Times New Roman" w:cs="Times New Roman" w:hint="eastAsia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</w:t>
          </w:r>
          <w:r>
            <w:rPr>
              <w:rFonts w:ascii="Times New Roman" w:hAnsi="Times New Roman" w:cs="Times New Roman"/>
            </w:rPr>
            <w:t>。</w:t>
          </w:r>
        </w:p>
      </w:sdtContent>
    </w:sdt>
    <w:p w:rsidR="00773F5E" w:rsidRDefault="00274FA0">
      <w:pPr>
        <w:widowControl/>
        <w:spacing w:beforeLines="100" w:before="312" w:afterLines="100" w:after="312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3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ascii="Times New Roman" w:hAnsi="Times New Roman" w:cs="Times New Roman" w:hint="eastAsia"/>
          <w:b/>
          <w:sz w:val="30"/>
          <w:szCs w:val="30"/>
        </w:rPr>
        <w:t>计算过程</w:t>
      </w:r>
      <w:bookmarkEnd w:id="3"/>
    </w:p>
    <w:p w:rsidR="00773F5E" w:rsidRDefault="00274FA0">
      <w:pPr>
        <w:pStyle w:val="a0"/>
        <w:ind w:firstLine="480"/>
        <w:rPr>
          <w:sz w:val="24"/>
        </w:rPr>
      </w:pPr>
      <w:r>
        <w:rPr>
          <w:sz w:val="24"/>
        </w:rPr>
        <w:t>预制构件包括各种结构构件和非结构构件</w:t>
      </w:r>
      <w:r>
        <w:rPr>
          <w:sz w:val="24"/>
        </w:rPr>
        <w:t>,</w:t>
      </w:r>
      <w:r>
        <w:rPr>
          <w:sz w:val="24"/>
        </w:rPr>
        <w:t>如预制梁、预制柱、预制墙板、预制阳台板、预制楼梯、雨棚、栏杆等</w:t>
      </w:r>
      <w:r>
        <w:rPr>
          <w:sz w:val="24"/>
        </w:rPr>
        <w:t>.</w:t>
      </w:r>
      <w:r>
        <w:rPr>
          <w:sz w:val="24"/>
        </w:rPr>
        <w:t>在保证安全的前提下</w:t>
      </w:r>
      <w:r>
        <w:rPr>
          <w:sz w:val="24"/>
        </w:rPr>
        <w:t>,</w:t>
      </w:r>
      <w:r>
        <w:rPr>
          <w:sz w:val="24"/>
        </w:rPr>
        <w:t>使用工厂化方式生产的预制构件</w:t>
      </w:r>
      <w:r>
        <w:rPr>
          <w:sz w:val="24"/>
        </w:rPr>
        <w:t>,</w:t>
      </w:r>
      <w:r>
        <w:rPr>
          <w:sz w:val="24"/>
        </w:rPr>
        <w:t>既能减少材料浪费</w:t>
      </w:r>
      <w:r>
        <w:rPr>
          <w:sz w:val="24"/>
        </w:rPr>
        <w:t>,</w:t>
      </w:r>
      <w:r>
        <w:rPr>
          <w:sz w:val="24"/>
        </w:rPr>
        <w:t>又能减少施工对环境的影响</w:t>
      </w:r>
      <w:r>
        <w:rPr>
          <w:sz w:val="24"/>
        </w:rPr>
        <w:t>,</w:t>
      </w:r>
      <w:r>
        <w:rPr>
          <w:sz w:val="24"/>
        </w:rPr>
        <w:t>同时可为将来建筑拆除后构件的替换和再利用创造条件。</w:t>
      </w:r>
    </w:p>
    <w:p w:rsidR="00773F5E" w:rsidRDefault="00274FA0">
      <w:pPr>
        <w:pStyle w:val="a0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</w:t>
      </w:r>
      <w:r>
        <w:rPr>
          <w:sz w:val="24"/>
        </w:rPr>
        <w:t>,</w:t>
      </w:r>
      <w:r>
        <w:rPr>
          <w:sz w:val="24"/>
        </w:rPr>
        <w:t>预制构件部分的混凝土用量占对应部分混凝土总用量的体积比。</w:t>
      </w:r>
    </w:p>
    <w:p w:rsidR="00773F5E" w:rsidRDefault="00274FA0">
      <w:pPr>
        <w:pStyle w:val="ab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eastAsiaTheme="minorEastAsia" w:hAnsi="Times New Roman" w:cs="Times New Roman"/>
          <w:bCs/>
        </w:rPr>
        <w:t>表</w:t>
      </w:r>
      <w:r>
        <w:rPr>
          <w:rFonts w:ascii="Times New Roman" w:eastAsiaTheme="minorEastAsia" w:hAnsi="Times New Roman" w:cs="Times New Roman" w:hint="eastAsia"/>
          <w:bCs/>
        </w:rPr>
        <w:t>3</w:t>
      </w:r>
      <w:r>
        <w:rPr>
          <w:rFonts w:ascii="Times New Roman" w:eastAsiaTheme="minorEastAsia" w:hAnsi="Times New Roman" w:cs="Times New Roman"/>
          <w:bCs/>
        </w:rPr>
        <w:t xml:space="preserve">.1  </w:t>
      </w:r>
      <w:r>
        <w:rPr>
          <w:rFonts w:ascii="Times New Roman" w:eastAsiaTheme="minorEastAsia" w:hAnsi="Times New Roman" w:cs="Times New Roman"/>
          <w:bCs/>
        </w:rPr>
        <w:t>预制构件用量比例计算</w:t>
      </w:r>
      <w:r>
        <w:rPr>
          <w:rFonts w:ascii="Times New Roman" w:eastAsiaTheme="minorEastAsia" w:hAnsi="Times New Roman" w:cs="Times New Roman" w:hint="eastAsia"/>
          <w:bCs/>
        </w:rPr>
        <w:t>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793"/>
        <w:gridCol w:w="1887"/>
        <w:gridCol w:w="785"/>
        <w:gridCol w:w="1100"/>
        <w:gridCol w:w="1382"/>
        <w:gridCol w:w="997"/>
        <w:gridCol w:w="1339"/>
      </w:tblGrid>
      <w:tr w:rsidR="00773F5E">
        <w:trPr>
          <w:trHeight w:val="619"/>
          <w:jc w:val="center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 w:rsidR="00773F5E">
        <w:trPr>
          <w:trHeight w:val="389"/>
          <w:jc w:val="center"/>
        </w:trPr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1#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  <w:t>预制叠合楼板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3F5E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  <w:t>预制空调板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3F5E">
        <w:trPr>
          <w:trHeight w:val="35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  <w:t>预制楼梯板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3F5E">
        <w:trPr>
          <w:trHeight w:val="29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  <w:t>预制混凝土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3F5E">
        <w:trPr>
          <w:trHeight w:val="38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</w:pPr>
            <w:r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  <w:t>预制内墙板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</w:pPr>
            <w:r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  <w:t>m3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3F5E">
        <w:trPr>
          <w:trHeight w:val="409"/>
          <w:jc w:val="center"/>
        </w:trPr>
        <w:tc>
          <w:tcPr>
            <w:tcW w:w="4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/>
                <w:sz w:val="24"/>
                <w:szCs w:val="21"/>
                <w:lang w:val="en-GB"/>
              </w:rPr>
              <w:t>预制保温外墙板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773F5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73F5E">
        <w:trPr>
          <w:trHeight w:val="27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38613.7</w:t>
            </w:r>
          </w:p>
        </w:tc>
      </w:tr>
      <w:tr w:rsidR="00773F5E">
        <w:trPr>
          <w:trHeight w:val="359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混凝土总重量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86042.26</w:t>
            </w:r>
          </w:p>
        </w:tc>
      </w:tr>
      <w:tr w:rsidR="00773F5E">
        <w:trPr>
          <w:trHeight w:val="484"/>
          <w:jc w:val="center"/>
        </w:trPr>
        <w:tc>
          <w:tcPr>
            <w:tcW w:w="3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比例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3F5E" w:rsidRDefault="00274F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44.88%</w:t>
            </w:r>
          </w:p>
        </w:tc>
      </w:tr>
    </w:tbl>
    <w:p w:rsidR="00773F5E" w:rsidRDefault="00274FA0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4" w:name="_Toc20388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结论</w:t>
      </w:r>
      <w:bookmarkEnd w:id="4"/>
    </w:p>
    <w:p w:rsidR="00773F5E" w:rsidRDefault="00274FA0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经计算，本项目居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建采用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的预制构件用量为</w:t>
      </w:r>
      <w:r>
        <w:rPr>
          <w:rFonts w:ascii="Times New Roman" w:eastAsia="宋体" w:hAnsi="Times New Roman" w:cs="Times New Roman" w:hint="eastAsia"/>
          <w:sz w:val="24"/>
          <w:szCs w:val="24"/>
        </w:rPr>
        <w:t>39.35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，该部分混凝土总用量为</w:t>
      </w:r>
      <w:r>
        <w:rPr>
          <w:rFonts w:ascii="Times New Roman" w:eastAsia="宋体" w:hAnsi="Times New Roman" w:cs="Times New Roman" w:hint="eastAsia"/>
          <w:sz w:val="24"/>
          <w:szCs w:val="24"/>
        </w:rPr>
        <w:t>25.58</w:t>
      </w:r>
      <w:r>
        <w:rPr>
          <w:rFonts w:ascii="Times New Roman" w:eastAsia="宋体" w:hAnsi="Times New Roman" w:cs="Times New Roman"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>，预制构件用量比例为</w:t>
      </w:r>
      <w:r>
        <w:rPr>
          <w:rFonts w:ascii="Times New Roman" w:eastAsia="宋体" w:hAnsi="Times New Roman" w:cs="Times New Roman" w:hint="eastAsia"/>
          <w:sz w:val="24"/>
          <w:szCs w:val="24"/>
        </w:rPr>
        <w:t>65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，达到</w:t>
      </w:r>
      <w:r>
        <w:rPr>
          <w:rFonts w:ascii="Times New Roman" w:eastAsia="宋体" w:hAnsi="Times New Roman" w:cs="Times New Roman" w:hint="eastAsia"/>
          <w:sz w:val="24"/>
          <w:szCs w:val="24"/>
        </w:rPr>
        <w:t>50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，满足《绿色建筑评价标准》（</w:t>
      </w:r>
      <w:r>
        <w:rPr>
          <w:rFonts w:ascii="Times New Roman" w:eastAsia="宋体" w:hAnsi="Times New Roman" w:cs="Times New Roman"/>
          <w:sz w:val="24"/>
          <w:szCs w:val="24"/>
        </w:rPr>
        <w:t>GB 50378-2019</w:t>
      </w:r>
      <w:r>
        <w:rPr>
          <w:rFonts w:ascii="Times New Roman" w:eastAsia="宋体" w:hAnsi="Times New Roman" w:cs="Times New Roman"/>
          <w:sz w:val="24"/>
          <w:szCs w:val="24"/>
        </w:rPr>
        <w:t>）第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9.2.5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条得</w:t>
      </w:r>
      <w:r>
        <w:rPr>
          <w:rFonts w:ascii="Times New Roman" w:eastAsia="宋体" w:hAnsi="Times New Roman" w:cs="Times New Roman" w:hint="eastAsia"/>
          <w:sz w:val="24"/>
          <w:szCs w:val="24"/>
        </w:rPr>
        <w:t>10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分</w:t>
      </w:r>
      <w:r>
        <w:rPr>
          <w:rFonts w:ascii="Times New Roman" w:eastAsia="宋体" w:hAnsi="Times New Roman" w:cs="Times New Roman"/>
          <w:sz w:val="24"/>
          <w:szCs w:val="24"/>
        </w:rPr>
        <w:t>的要求。</w:t>
      </w:r>
    </w:p>
    <w:p w:rsidR="00773F5E" w:rsidRDefault="00773F5E">
      <w:pPr>
        <w:spacing w:line="400" w:lineRule="exact"/>
        <w:rPr>
          <w:rFonts w:ascii="Times New Roman" w:hAnsi="Times New Roman" w:cs="Times New Roman"/>
          <w:lang w:val="zh-CN"/>
        </w:rPr>
      </w:pPr>
    </w:p>
    <w:sectPr w:rsidR="00773F5E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A0" w:rsidRDefault="00274FA0">
      <w:r>
        <w:separator/>
      </w:r>
    </w:p>
  </w:endnote>
  <w:endnote w:type="continuationSeparator" w:id="0">
    <w:p w:rsidR="00274FA0" w:rsidRDefault="0027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5E" w:rsidRDefault="00773F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5E" w:rsidRDefault="00274FA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3F5E" w:rsidRDefault="00274FA0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73F5E" w:rsidRDefault="00274FA0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5E" w:rsidRDefault="00274FA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3F5E" w:rsidRDefault="00274FA0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73F5E" w:rsidRDefault="00274FA0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A0" w:rsidRDefault="00274FA0">
      <w:r>
        <w:separator/>
      </w:r>
    </w:p>
  </w:footnote>
  <w:footnote w:type="continuationSeparator" w:id="0">
    <w:p w:rsidR="00274FA0" w:rsidRDefault="0027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5E" w:rsidRDefault="00274FA0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宋体" w:eastAsia="宋体" w:hAnsi="宋体" w:cs="微软雅黑" w:hint="eastAsia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5E" w:rsidRDefault="00773F5E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123008"/>
    <w:multiLevelType w:val="singleLevel"/>
    <w:tmpl w:val="9D12300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2OGRhYTI1YjQ5NjZlMmE2MDkzNWUyZmE2NjljODcifQ=="/>
  </w:docVars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74FA0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649B2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73F5E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166CC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AF61D6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2E125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41E1152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5FE4B-A2A7-47DC-9AFE-C840B4D8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autoRedefine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0"/>
    <w:link w:val="20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qFormat/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autoRedefine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autoRedefine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autoRedefine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autoRedefine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于 点</cp:lastModifiedBy>
  <cp:revision>99</cp:revision>
  <cp:lastPrinted>2018-06-06T07:38:00Z</cp:lastPrinted>
  <dcterms:created xsi:type="dcterms:W3CDTF">2014-04-17T06:46:00Z</dcterms:created>
  <dcterms:modified xsi:type="dcterms:W3CDTF">2025-03-13T07:00:00Z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546C758A0BD44B7DB8B9DE1F789088A1_12</vt:lpwstr>
  </property>
</Properties>
</file>