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bookmarkStart w:id="55" w:name="_GoBack"/>
      <w:bookmarkEnd w:id="55"/>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pPr>
        <w:spacing w:before="312" w:beforeLines="100" w:line="180" w:lineRule="atLeast"/>
        <w:rPr>
          <w:rFonts w:ascii="宋体" w:hAnsi="宋体"/>
          <w:bCs/>
          <w:sz w:val="44"/>
          <w:szCs w:val="44"/>
        </w:rPr>
      </w:pPr>
    </w:p>
    <w:p>
      <w:pPr>
        <w:spacing w:line="180" w:lineRule="exact"/>
        <w:jc w:val="center"/>
        <w:rPr>
          <w:rFonts w:ascii="宋体" w:hAnsi="宋体"/>
          <w:b/>
          <w:bCs/>
        </w:rPr>
      </w:pPr>
    </w:p>
    <w:p>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rPr>
            </w:pPr>
            <w:bookmarkStart w:id="0" w:name="工程名称"/>
            <w:r>
              <w:t>攀枝花学院产教综合大楼</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2" w:name="建设单位"/>
            <w:r>
              <w:t>攀枝花学院</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bookmarkStart w:id="5" w:name="软件全称"/>
            <w:r>
              <w:rPr>
                <w:rFonts w:hint="eastAsia"/>
              </w:rPr>
              <w:t>建筑声环境SEDU2024</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bookmarkStart w:id="6" w:name="软件版本"/>
            <w:r>
              <w:rPr>
                <w:rFonts w:hint="eastAsia"/>
              </w:rPr>
              <w:t>20240430(SP1)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T19150671283</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_Toc7827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_Toc7827 \h </w:instrText>
      </w:r>
      <w:r>
        <w:fldChar w:fldCharType="separate"/>
      </w:r>
      <w:r>
        <w:t>1</w:t>
      </w:r>
      <w:r>
        <w:fldChar w:fldCharType="end"/>
      </w:r>
      <w:r>
        <w:rPr>
          <w:rFonts w:ascii="宋体" w:hAnsi="宋体"/>
          <w:caps/>
        </w:rPr>
        <w:fldChar w:fldCharType="end"/>
      </w:r>
    </w:p>
    <w:p>
      <w:pPr>
        <w:pStyle w:val="12"/>
        <w:tabs>
          <w:tab w:val="right" w:leader="dot" w:pos="9070"/>
          <w:tab w:val="clear" w:pos="180"/>
          <w:tab w:val="clear" w:pos="9360"/>
        </w:tabs>
      </w:pPr>
      <w:r>
        <w:fldChar w:fldCharType="begin"/>
      </w:r>
      <w:r>
        <w:instrText xml:space="preserve"> HYPERLINK \l _Toc15996 </w:instrText>
      </w:r>
      <w:r>
        <w:fldChar w:fldCharType="separate"/>
      </w:r>
      <w:r>
        <w:rPr>
          <w:rFonts w:hint="eastAsia"/>
          <w:szCs w:val="28"/>
        </w:rPr>
        <w:t>2.评价</w:t>
      </w:r>
      <w:r>
        <w:rPr>
          <w:szCs w:val="28"/>
        </w:rPr>
        <w:t>标准</w:t>
      </w:r>
      <w:r>
        <w:tab/>
      </w:r>
      <w:r>
        <w:fldChar w:fldCharType="begin"/>
      </w:r>
      <w:r>
        <w:instrText xml:space="preserve"> PAGEREF _Toc15996 \h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_Toc9690 </w:instrText>
      </w:r>
      <w:r>
        <w:fldChar w:fldCharType="separate"/>
      </w:r>
      <w:r>
        <w:rPr>
          <w:rFonts w:hint="eastAsia"/>
          <w:szCs w:val="24"/>
        </w:rPr>
        <w:t>2.1评价</w:t>
      </w:r>
      <w:r>
        <w:rPr>
          <w:szCs w:val="24"/>
        </w:rPr>
        <w:t>依据</w:t>
      </w:r>
      <w:r>
        <w:tab/>
      </w:r>
      <w:r>
        <w:fldChar w:fldCharType="begin"/>
      </w:r>
      <w:r>
        <w:instrText xml:space="preserve"> PAGEREF _Toc9690 \h </w:instrText>
      </w:r>
      <w:r>
        <w:fldChar w:fldCharType="separate"/>
      </w:r>
      <w:r>
        <w:t>1</w:t>
      </w:r>
      <w:r>
        <w:fldChar w:fldCharType="end"/>
      </w:r>
      <w:r>
        <w:fldChar w:fldCharType="end"/>
      </w:r>
    </w:p>
    <w:p>
      <w:pPr>
        <w:pStyle w:val="13"/>
        <w:tabs>
          <w:tab w:val="right" w:leader="dot" w:pos="9070"/>
          <w:tab w:val="clear" w:pos="540"/>
          <w:tab w:val="clear" w:pos="9360"/>
        </w:tabs>
      </w:pPr>
      <w:r>
        <w:fldChar w:fldCharType="begin"/>
      </w:r>
      <w:r>
        <w:instrText xml:space="preserve"> HYPERLINK \l _Toc16674 </w:instrText>
      </w:r>
      <w:r>
        <w:fldChar w:fldCharType="separate"/>
      </w:r>
      <w:r>
        <w:rPr>
          <w:rFonts w:hint="eastAsia"/>
          <w:szCs w:val="24"/>
        </w:rPr>
        <w:t>2.2标准</w:t>
      </w:r>
      <w:r>
        <w:rPr>
          <w:szCs w:val="24"/>
        </w:rPr>
        <w:t>要求</w:t>
      </w:r>
      <w:r>
        <w:tab/>
      </w:r>
      <w:r>
        <w:fldChar w:fldCharType="begin"/>
      </w:r>
      <w:r>
        <w:instrText xml:space="preserve"> PAGEREF _Toc16674 \h </w:instrText>
      </w:r>
      <w:r>
        <w:fldChar w:fldCharType="separate"/>
      </w:r>
      <w:r>
        <w:t>1</w:t>
      </w:r>
      <w:r>
        <w:fldChar w:fldCharType="end"/>
      </w:r>
      <w:r>
        <w:fldChar w:fldCharType="end"/>
      </w:r>
    </w:p>
    <w:p>
      <w:pPr>
        <w:pStyle w:val="12"/>
        <w:tabs>
          <w:tab w:val="right" w:leader="dot" w:pos="9070"/>
          <w:tab w:val="clear" w:pos="180"/>
          <w:tab w:val="clear" w:pos="9360"/>
        </w:tabs>
      </w:pPr>
      <w:r>
        <w:fldChar w:fldCharType="begin"/>
      </w:r>
      <w:r>
        <w:instrText xml:space="preserve"> HYPERLINK \l _Toc18195 </w:instrText>
      </w:r>
      <w:r>
        <w:fldChar w:fldCharType="separate"/>
      </w:r>
      <w:r>
        <w:rPr>
          <w:rFonts w:hint="eastAsia"/>
          <w:szCs w:val="28"/>
        </w:rPr>
        <w:t>3.模拟</w:t>
      </w:r>
      <w:r>
        <w:rPr>
          <w:szCs w:val="28"/>
        </w:rPr>
        <w:t>方法</w:t>
      </w:r>
      <w:r>
        <w:tab/>
      </w:r>
      <w:r>
        <w:fldChar w:fldCharType="begin"/>
      </w:r>
      <w:r>
        <w:instrText xml:space="preserve"> PAGEREF _Toc18195 \h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_Toc2579 </w:instrText>
      </w:r>
      <w:r>
        <w:fldChar w:fldCharType="separate"/>
      </w:r>
      <w:r>
        <w:rPr>
          <w:rFonts w:hint="eastAsia"/>
          <w:szCs w:val="24"/>
        </w:rPr>
        <w:t>3.1模拟软件</w:t>
      </w:r>
      <w:r>
        <w:tab/>
      </w:r>
      <w:r>
        <w:fldChar w:fldCharType="begin"/>
      </w:r>
      <w:r>
        <w:instrText xml:space="preserve"> PAGEREF _Toc2579 \h </w:instrText>
      </w:r>
      <w:r>
        <w:fldChar w:fldCharType="separate"/>
      </w:r>
      <w:r>
        <w:t>2</w:t>
      </w:r>
      <w:r>
        <w:fldChar w:fldCharType="end"/>
      </w:r>
      <w:r>
        <w:fldChar w:fldCharType="end"/>
      </w:r>
    </w:p>
    <w:p>
      <w:pPr>
        <w:pStyle w:val="13"/>
        <w:tabs>
          <w:tab w:val="right" w:leader="dot" w:pos="9070"/>
          <w:tab w:val="clear" w:pos="540"/>
          <w:tab w:val="clear" w:pos="9360"/>
        </w:tabs>
      </w:pPr>
      <w:r>
        <w:fldChar w:fldCharType="begin"/>
      </w:r>
      <w:r>
        <w:instrText xml:space="preserve"> HYPERLINK \l _Toc28168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_Toc28168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_Toc30973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_Toc30973 \h </w:instrText>
      </w:r>
      <w:r>
        <w:fldChar w:fldCharType="separate"/>
      </w:r>
      <w:r>
        <w:t>3</w:t>
      </w:r>
      <w:r>
        <w:fldChar w:fldCharType="end"/>
      </w:r>
      <w:r>
        <w:fldChar w:fldCharType="end"/>
      </w:r>
    </w:p>
    <w:p>
      <w:pPr>
        <w:pStyle w:val="13"/>
        <w:tabs>
          <w:tab w:val="right" w:leader="dot" w:pos="9070"/>
          <w:tab w:val="clear" w:pos="540"/>
          <w:tab w:val="clear" w:pos="9360"/>
        </w:tabs>
      </w:pPr>
      <w:r>
        <w:fldChar w:fldCharType="begin"/>
      </w:r>
      <w:r>
        <w:instrText xml:space="preserve"> HYPERLINK \l _Toc14991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_Toc14991 \h </w:instrText>
      </w:r>
      <w:r>
        <w:fldChar w:fldCharType="separate"/>
      </w:r>
      <w:r>
        <w:t>4</w:t>
      </w:r>
      <w:r>
        <w:fldChar w:fldCharType="end"/>
      </w:r>
      <w:r>
        <w:fldChar w:fldCharType="end"/>
      </w:r>
    </w:p>
    <w:p>
      <w:pPr>
        <w:pStyle w:val="12"/>
        <w:tabs>
          <w:tab w:val="right" w:leader="dot" w:pos="9070"/>
          <w:tab w:val="clear" w:pos="180"/>
          <w:tab w:val="clear" w:pos="9360"/>
        </w:tabs>
      </w:pPr>
      <w:r>
        <w:fldChar w:fldCharType="begin"/>
      </w:r>
      <w:r>
        <w:instrText xml:space="preserve"> HYPERLINK \l _Toc31158 </w:instrText>
      </w:r>
      <w:r>
        <w:fldChar w:fldCharType="separate"/>
      </w:r>
      <w:r>
        <w:rPr>
          <w:rFonts w:hint="eastAsia"/>
          <w:szCs w:val="28"/>
        </w:rPr>
        <w:t>4.模拟结果</w:t>
      </w:r>
      <w:r>
        <w:rPr>
          <w:szCs w:val="28"/>
        </w:rPr>
        <w:t>及分析</w:t>
      </w:r>
      <w:r>
        <w:tab/>
      </w:r>
      <w:r>
        <w:fldChar w:fldCharType="begin"/>
      </w:r>
      <w:r>
        <w:instrText xml:space="preserve"> PAGEREF _Toc31158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_Toc28444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_Toc28444 \h </w:instrText>
      </w:r>
      <w:r>
        <w:fldChar w:fldCharType="separate"/>
      </w:r>
      <w:r>
        <w:t>4</w:t>
      </w:r>
      <w:r>
        <w:fldChar w:fldCharType="end"/>
      </w:r>
      <w:r>
        <w:fldChar w:fldCharType="end"/>
      </w:r>
    </w:p>
    <w:p>
      <w:pPr>
        <w:pStyle w:val="13"/>
        <w:tabs>
          <w:tab w:val="right" w:leader="dot" w:pos="9070"/>
          <w:tab w:val="clear" w:pos="540"/>
          <w:tab w:val="clear" w:pos="9360"/>
        </w:tabs>
      </w:pPr>
      <w:r>
        <w:fldChar w:fldCharType="begin"/>
      </w:r>
      <w:r>
        <w:instrText xml:space="preserve"> HYPERLINK \l _Toc31500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_Toc31500 \h </w:instrText>
      </w:r>
      <w:r>
        <w:fldChar w:fldCharType="separate"/>
      </w:r>
      <w:r>
        <w:t>8</w:t>
      </w:r>
      <w:r>
        <w:fldChar w:fldCharType="end"/>
      </w:r>
      <w:r>
        <w:fldChar w:fldCharType="end"/>
      </w:r>
    </w:p>
    <w:p>
      <w:pPr>
        <w:pStyle w:val="12"/>
        <w:tabs>
          <w:tab w:val="right" w:leader="dot" w:pos="9070"/>
          <w:tab w:val="clear" w:pos="180"/>
          <w:tab w:val="clear" w:pos="9360"/>
        </w:tabs>
      </w:pPr>
      <w:r>
        <w:fldChar w:fldCharType="begin"/>
      </w:r>
      <w:r>
        <w:instrText xml:space="preserve"> HYPERLINK \l _Toc17603 </w:instrText>
      </w:r>
      <w:r>
        <w:fldChar w:fldCharType="separate"/>
      </w:r>
      <w:r>
        <w:rPr>
          <w:rFonts w:hint="eastAsia"/>
          <w:szCs w:val="28"/>
        </w:rPr>
        <w:t>5.结论</w:t>
      </w:r>
      <w:r>
        <w:tab/>
      </w:r>
      <w:r>
        <w:fldChar w:fldCharType="begin"/>
      </w:r>
      <w:r>
        <w:instrText xml:space="preserve"> PAGEREF _Toc17603 \h </w:instrText>
      </w:r>
      <w:r>
        <w:fldChar w:fldCharType="separate"/>
      </w:r>
      <w:r>
        <w:t>12</w:t>
      </w:r>
      <w:r>
        <w:fldChar w:fldCharType="end"/>
      </w:r>
      <w:r>
        <w:fldChar w:fldCharType="end"/>
      </w:r>
    </w:p>
    <w:p>
      <w:pPr>
        <w:pStyle w:val="12"/>
      </w:pPr>
      <w:r>
        <w:fldChar w:fldCharType="end"/>
      </w:r>
      <w:bookmarkEnd w:id="8"/>
    </w:p>
    <w:p>
      <w:pPr>
        <w:jc w:val="right"/>
      </w:pPr>
    </w:p>
    <w:p/>
    <w:p>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782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名称</w:t>
            </w:r>
          </w:p>
        </w:tc>
        <w:tc>
          <w:tcPr>
            <w:shd w:val="clear" w:color="auto" w:fill="E6E6E6"/>
            <w:vAlign w:val="center"/>
          </w:tcPr>
          <w:p>
            <w:pPr>
              <w:jc w:val="center"/>
              <w:rPr>
                <w:sz w:val="21"/>
                <w:szCs w:val="21"/>
              </w:rPr>
            </w:pPr>
            <w:r>
              <w:rPr>
                <w:sz w:val="21"/>
                <w:szCs w:val="21"/>
              </w:rPr>
              <w:t>建筑高度(米)</w:t>
            </w:r>
          </w:p>
        </w:tc>
        <w:tc>
          <w:tcPr>
            <w:shd w:val="clear" w:color="auto" w:fill="E6E6E6"/>
            <w:vAlign w:val="center"/>
          </w:tcPr>
          <w:p>
            <w:pPr>
              <w:jc w:val="center"/>
              <w:rPr>
                <w:sz w:val="21"/>
                <w:szCs w:val="21"/>
              </w:rPr>
            </w:pPr>
            <w:r>
              <w:rPr>
                <w:sz w:val="21"/>
                <w:szCs w:val="21"/>
              </w:rPr>
              <w:t>底标高(米)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周边建筑1</w:t>
            </w:r>
          </w:p>
        </w:tc>
        <w:tc>
          <w:tcPr>
            <w:vAlign w:val="center"/>
          </w:tcPr>
          <w:p>
            <w:pPr>
              <w:jc w:val="center"/>
              <w:rPr>
                <w:sz w:val="21"/>
                <w:szCs w:val="21"/>
              </w:rPr>
            </w:pPr>
            <w:r>
              <w:rPr>
                <w:sz w:val="21"/>
                <w:szCs w:val="21"/>
              </w:rPr>
              <w:t>4.00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周边建筑2</w:t>
            </w:r>
          </w:p>
        </w:tc>
        <w:tc>
          <w:tcPr>
            <w:vAlign w:val="center"/>
          </w:tcPr>
          <w:p>
            <w:pPr>
              <w:jc w:val="center"/>
              <w:rPr>
                <w:sz w:val="21"/>
                <w:szCs w:val="21"/>
              </w:rPr>
            </w:pPr>
            <w:r>
              <w:rPr>
                <w:sz w:val="21"/>
                <w:szCs w:val="21"/>
              </w:rPr>
              <w:t>4.00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周边建筑3</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周边建筑4</w:t>
            </w:r>
          </w:p>
        </w:tc>
        <w:tc>
          <w:tcPr>
            <w:vAlign w:val="center"/>
          </w:tcPr>
          <w:p>
            <w:pPr>
              <w:jc w:val="center"/>
              <w:rPr>
                <w:sz w:val="21"/>
                <w:szCs w:val="21"/>
              </w:rPr>
            </w:pPr>
            <w:r>
              <w:rPr>
                <w:sz w:val="21"/>
                <w:szCs w:val="21"/>
              </w:rPr>
              <w:t>4.00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周边建筑5</w:t>
            </w:r>
          </w:p>
        </w:tc>
        <w:tc>
          <w:tcPr>
            <w:vAlign w:val="center"/>
          </w:tcPr>
          <w:p>
            <w:pPr>
              <w:jc w:val="center"/>
              <w:rPr>
                <w:sz w:val="21"/>
                <w:szCs w:val="21"/>
              </w:rPr>
            </w:pPr>
            <w:r>
              <w:rPr>
                <w:sz w:val="21"/>
                <w:szCs w:val="21"/>
              </w:rPr>
              <w:t>12.00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rPr>
                <w:sz w:val="21"/>
                <w:szCs w:val="21"/>
              </w:rPr>
            </w:pPr>
            <w:r>
              <w:rPr>
                <w:sz w:val="21"/>
                <w:szCs w:val="21"/>
              </w:rPr>
              <w:t>周边建筑6</w:t>
            </w:r>
          </w:p>
        </w:tc>
        <w:tc>
          <w:tcPr>
            <w:vAlign w:val="center"/>
          </w:tcPr>
          <w:p>
            <w:pPr>
              <w:jc w:val="center"/>
              <w:rPr>
                <w:sz w:val="21"/>
                <w:szCs w:val="21"/>
              </w:rPr>
            </w:pPr>
            <w:r>
              <w:rPr>
                <w:sz w:val="21"/>
                <w:szCs w:val="21"/>
              </w:rPr>
              <w:t>16.00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周边建筑7</w:t>
            </w:r>
          </w:p>
        </w:tc>
        <w:tc>
          <w:tcPr>
            <w:vAlign w:val="center"/>
          </w:tcPr>
          <w:p>
            <w:pPr>
              <w:jc w:val="center"/>
              <w:rPr>
                <w:sz w:val="21"/>
                <w:szCs w:val="21"/>
              </w:rPr>
            </w:pPr>
            <w:r>
              <w:rPr>
                <w:sz w:val="21"/>
                <w:szCs w:val="21"/>
              </w:rPr>
              <w:t>9.00</w:t>
            </w:r>
          </w:p>
        </w:tc>
        <w:tc>
          <w:tcPr>
            <w:vAlign w:val="center"/>
          </w:tcPr>
          <w:p>
            <w:pPr>
              <w:jc w:val="center"/>
              <w:rPr>
                <w:sz w:val="21"/>
                <w:szCs w:val="21"/>
              </w:rPr>
            </w:pPr>
            <w:r>
              <w:rPr>
                <w:sz w:val="21"/>
                <w:szCs w:val="21"/>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rPr>
                <w:sz w:val="21"/>
                <w:szCs w:val="21"/>
              </w:rPr>
            </w:pPr>
            <w:r>
              <w:rPr>
                <w:sz w:val="21"/>
                <w:szCs w:val="21"/>
              </w:rPr>
              <w:t>声环境的分析</w:t>
            </w:r>
          </w:p>
        </w:tc>
        <w:tc>
          <w:tcPr>
            <w:vAlign w:val="center"/>
          </w:tcPr>
          <w:p>
            <w:pPr>
              <w:jc w:val="center"/>
              <w:rPr>
                <w:sz w:val="21"/>
                <w:szCs w:val="21"/>
              </w:rPr>
            </w:pPr>
            <w:r>
              <w:rPr>
                <w:sz w:val="21"/>
                <w:szCs w:val="21"/>
              </w:rPr>
              <w:t>81.01</w:t>
            </w:r>
          </w:p>
        </w:tc>
        <w:tc>
          <w:tcPr>
            <w:vAlign w:val="center"/>
          </w:tcPr>
          <w:p>
            <w:pPr>
              <w:jc w:val="center"/>
              <w:rPr>
                <w:sz w:val="21"/>
                <w:szCs w:val="21"/>
              </w:rPr>
            </w:pPr>
            <w:r>
              <w:rPr>
                <w:sz w:val="21"/>
                <w:szCs w:val="21"/>
              </w:rPr>
              <w:t>5.40</w:t>
            </w:r>
          </w:p>
        </w:tc>
      </w:tr>
    </w:tbl>
    <w:p>
      <w:pPr>
        <w:widowControl/>
        <w:jc w:val="center"/>
        <w:rPr>
          <w:rFonts w:ascii="宋体" w:hAnsi="宋体"/>
        </w:rPr>
      </w:pPr>
      <w:bookmarkStart w:id="11" w:name="参评建筑信息表"/>
      <w:bookmarkEnd w:id="11"/>
    </w:p>
    <w:p>
      <w:pPr>
        <w:pStyle w:val="2"/>
        <w:rPr>
          <w:sz w:val="28"/>
          <w:szCs w:val="28"/>
        </w:rPr>
      </w:pPr>
      <w:bookmarkStart w:id="12" w:name="_Toc479326718"/>
      <w:bookmarkStart w:id="13" w:name="_Toc15996"/>
      <w:r>
        <w:rPr>
          <w:rFonts w:hint="eastAsia"/>
          <w:sz w:val="28"/>
          <w:szCs w:val="28"/>
        </w:rPr>
        <w:t>2.评价</w:t>
      </w:r>
      <w:r>
        <w:rPr>
          <w:sz w:val="28"/>
          <w:szCs w:val="28"/>
        </w:rPr>
        <w:t>标准</w:t>
      </w:r>
      <w:bookmarkEnd w:id="12"/>
      <w:bookmarkEnd w:id="13"/>
    </w:p>
    <w:p>
      <w:pPr>
        <w:pStyle w:val="3"/>
        <w:rPr>
          <w:sz w:val="24"/>
          <w:szCs w:val="24"/>
        </w:rPr>
      </w:pPr>
      <w:bookmarkStart w:id="14" w:name="_Toc479326719"/>
      <w:bookmarkStart w:id="15" w:name="_Toc9690"/>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rPr>
          <w:sz w:val="24"/>
          <w:szCs w:val="24"/>
        </w:rPr>
      </w:pPr>
      <w:bookmarkStart w:id="18" w:name="_Toc16674"/>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Cs w:val="24"/>
              </w:rPr>
            </w:pPr>
            <w:r>
              <w:rPr>
                <w:rFonts w:hint="eastAsia"/>
                <w:szCs w:val="24"/>
              </w:rPr>
              <w:t>声环境</w:t>
            </w:r>
          </w:p>
          <w:p>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Cs w:val="24"/>
              </w:rPr>
            </w:pPr>
            <w:r>
              <w:rPr>
                <w:rFonts w:hint="eastAsia"/>
                <w:szCs w:val="24"/>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Cs w:val="24"/>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pPr>
              <w:rPr>
                <w:szCs w:val="24"/>
              </w:rPr>
            </w:pPr>
            <w:r>
              <w:rPr>
                <w:rFonts w:hint="eastAsia"/>
                <w:szCs w:val="24"/>
              </w:rPr>
              <w:t>适用于铁路干线两侧一定距离之内，需要防止交通噪声对周围环境产生严重影响的区域。</w:t>
            </w:r>
          </w:p>
        </w:tc>
      </w:tr>
    </w:tbl>
    <w:p>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pPr>
        <w:pStyle w:val="2"/>
        <w:rPr>
          <w:sz w:val="28"/>
          <w:szCs w:val="28"/>
        </w:rPr>
      </w:pPr>
      <w:bookmarkStart w:id="19" w:name="声功能区类别表格"/>
      <w:bookmarkEnd w:id="19"/>
      <w:bookmarkStart w:id="20" w:name="_Toc479326721"/>
      <w:bookmarkStart w:id="21" w:name="_Toc18195"/>
      <w:r>
        <w:rPr>
          <w:rFonts w:hint="eastAsia"/>
          <w:sz w:val="28"/>
          <w:szCs w:val="28"/>
        </w:rPr>
        <w:t>3.模拟</w:t>
      </w:r>
      <w:r>
        <w:rPr>
          <w:sz w:val="28"/>
          <w:szCs w:val="28"/>
        </w:rPr>
        <w:t>方法</w:t>
      </w:r>
      <w:bookmarkEnd w:id="20"/>
      <w:bookmarkEnd w:id="21"/>
    </w:p>
    <w:p>
      <w:pPr>
        <w:pStyle w:val="3"/>
        <w:rPr>
          <w:sz w:val="24"/>
          <w:szCs w:val="24"/>
        </w:rPr>
      </w:pPr>
      <w:bookmarkStart w:id="22" w:name="_Toc479326722"/>
      <w:bookmarkStart w:id="23" w:name="_Toc2579"/>
      <w:r>
        <w:rPr>
          <w:rFonts w:hint="eastAsia"/>
          <w:sz w:val="24"/>
          <w:szCs w:val="24"/>
        </w:rPr>
        <w:t>3.1模拟软件</w:t>
      </w:r>
      <w:bookmarkEnd w:id="22"/>
      <w:bookmarkEnd w:id="23"/>
    </w:p>
    <w:p>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pPr>
        <w:pStyle w:val="3"/>
        <w:rPr>
          <w:sz w:val="24"/>
          <w:szCs w:val="24"/>
        </w:rPr>
      </w:pPr>
      <w:bookmarkStart w:id="25" w:name="_Toc28168"/>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42672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4267200"/>
                    </a:xfrm>
                    <a:prstGeom prst="rect">
                      <a:avLst/>
                    </a:prstGeom>
                  </pic:spPr>
                </pic:pic>
              </a:graphicData>
            </a:graphic>
          </wp:inline>
        </w:drawing>
      </w:r>
    </w:p>
    <w:p>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pPr>
        <w:pStyle w:val="3"/>
        <w:rPr>
          <w:rFonts w:ascii="宋体"/>
          <w:sz w:val="24"/>
          <w:szCs w:val="24"/>
        </w:rPr>
      </w:pPr>
      <w:bookmarkStart w:id="27" w:name="_Toc479326725"/>
      <w:bookmarkStart w:id="28" w:name="_Toc30973"/>
      <w:r>
        <w:rPr>
          <w:rFonts w:hint="eastAsia"/>
          <w:sz w:val="24"/>
          <w:szCs w:val="24"/>
        </w:rPr>
        <w:t>3.</w:t>
      </w:r>
      <w:r>
        <w:rPr>
          <w:sz w:val="24"/>
          <w:szCs w:val="24"/>
        </w:rPr>
        <w:t>3</w:t>
      </w:r>
      <w:r>
        <w:rPr>
          <w:rFonts w:hint="eastAsia"/>
          <w:sz w:val="24"/>
          <w:szCs w:val="24"/>
        </w:rPr>
        <w:t>计算条件</w:t>
      </w:r>
      <w:bookmarkEnd w:id="27"/>
      <w:bookmarkEnd w:id="28"/>
    </w:p>
    <w:p>
      <w:pPr>
        <w:rPr>
          <w:bCs/>
        </w:rPr>
      </w:pPr>
      <w:bookmarkStart w:id="29" w:name="计算条件"/>
      <w:r>
        <w:rPr>
          <w:rFonts w:hint="eastAsia"/>
          <w:bCs/>
        </w:rPr>
        <w:t>■ 网格设置</w:t>
      </w:r>
    </w:p>
    <w:p>
      <w:pPr>
        <w:rPr>
          <w:bCs/>
        </w:rPr>
      </w:pPr>
      <w:r>
        <w:rPr>
          <w:bCs/>
          <w:color w:val="000000"/>
        </w:rPr>
        <w:t xml:space="preserve">  平面网格间距：20×20 米</w:t>
      </w:r>
    </w:p>
    <w:p>
      <w:pPr>
        <w:rPr>
          <w:bCs/>
        </w:rPr>
      </w:pPr>
      <w:r>
        <w:rPr>
          <w:bCs/>
          <w:color w:val="000000"/>
        </w:rPr>
        <w:t xml:space="preserve">  平面网格离地高度：1.5 米</w:t>
      </w:r>
    </w:p>
    <w:p>
      <w:pPr>
        <w:rPr>
          <w:bCs/>
        </w:rPr>
      </w:pPr>
      <w:r>
        <w:rPr>
          <w:bCs/>
          <w:color w:val="000000"/>
        </w:rPr>
        <w:t xml:space="preserve">  立面网格间距：3×3 米</w:t>
      </w:r>
    </w:p>
    <w:p>
      <w:pPr>
        <w:rPr>
          <w:bCs/>
        </w:rPr>
      </w:pPr>
    </w:p>
    <w:p>
      <w:pPr>
        <w:rPr>
          <w:bCs/>
        </w:rPr>
      </w:pPr>
      <w:r>
        <w:rPr>
          <w:bCs/>
          <w:color w:val="000000"/>
        </w:rPr>
        <w:t>■ 地面效应</w:t>
      </w:r>
    </w:p>
    <w:p>
      <w:pPr>
        <w:rPr>
          <w:bCs/>
        </w:rPr>
      </w:pPr>
      <w:r>
        <w:rPr>
          <w:bCs/>
          <w:color w:val="000000"/>
        </w:rPr>
        <w:t xml:space="preserve">  地面高度：0 米</w:t>
      </w:r>
    </w:p>
    <w:p>
      <w:pPr>
        <w:rPr>
          <w:bCs/>
        </w:rPr>
      </w:pPr>
      <w:r>
        <w:rPr>
          <w:bCs/>
          <w:color w:val="000000"/>
        </w:rPr>
        <w:t xml:space="preserve">  计算考虑地面效应</w:t>
      </w:r>
    </w:p>
    <w:p>
      <w:pPr>
        <w:rPr>
          <w:bCs/>
        </w:rPr>
      </w:pPr>
      <w:r>
        <w:rPr>
          <w:bCs/>
          <w:color w:val="000000"/>
        </w:rPr>
        <w:t xml:space="preserve">  地面效应计算方法：导则算法</w:t>
      </w:r>
    </w:p>
    <w:p>
      <w:pPr>
        <w:rPr>
          <w:bCs/>
        </w:rPr>
      </w:pPr>
    </w:p>
    <w:p>
      <w:pPr>
        <w:rPr>
          <w:bCs/>
        </w:rPr>
      </w:pPr>
      <w:r>
        <w:rPr>
          <w:bCs/>
          <w:color w:val="000000"/>
        </w:rPr>
        <w:t>■ 噪声反射</w:t>
      </w:r>
    </w:p>
    <w:p>
      <w:pPr>
        <w:rPr>
          <w:bCs/>
        </w:rPr>
      </w:pPr>
      <w:r>
        <w:rPr>
          <w:bCs/>
          <w:color w:val="000000"/>
        </w:rPr>
        <w:t xml:space="preserve">  障碍物考虑的最大反射次数：1</w:t>
      </w:r>
    </w:p>
    <w:p>
      <w:pPr>
        <w:rPr>
          <w:bCs/>
        </w:rPr>
      </w:pPr>
    </w:p>
    <w:p>
      <w:pPr>
        <w:rPr>
          <w:bCs/>
        </w:rPr>
      </w:pPr>
      <w:r>
        <w:rPr>
          <w:bCs/>
          <w:color w:val="000000"/>
        </w:rPr>
        <w:t>■ 空气吸收</w:t>
      </w:r>
    </w:p>
    <w:p>
      <w:pPr>
        <w:rPr>
          <w:bCs/>
        </w:rPr>
      </w:pPr>
      <w:r>
        <w:rPr>
          <w:bCs/>
          <w:color w:val="000000"/>
        </w:rPr>
        <w:t xml:space="preserve">  气压：101325Pa  气温：16℃  湿度：50%</w:t>
      </w:r>
    </w:p>
    <w:p>
      <w:pPr>
        <w:rPr>
          <w:bCs/>
        </w:rPr>
      </w:pPr>
    </w:p>
    <w:p>
      <w:pPr>
        <w:rPr>
          <w:bCs/>
        </w:rPr>
      </w:pPr>
      <w:r>
        <w:rPr>
          <w:bCs/>
          <w:color w:val="000000"/>
        </w:rPr>
        <w:t>■ 达标统计</w:t>
      </w:r>
    </w:p>
    <w:p>
      <w:pPr>
        <w:rPr>
          <w:bCs/>
        </w:rPr>
      </w:pPr>
      <w:r>
        <w:rPr>
          <w:bCs/>
          <w:color w:val="000000"/>
        </w:rPr>
        <w:t xml:space="preserve">  建筑物噪声最大值统计方式</w:t>
      </w:r>
    </w:p>
    <w:p>
      <w:pPr>
        <w:rPr>
          <w:bCs/>
        </w:rPr>
      </w:pPr>
      <w:r>
        <w:rPr>
          <w:bCs/>
          <w:color w:val="000000"/>
        </w:rPr>
        <w:t xml:space="preserve">    取距离建筑物底标高1.5米沿线点</w:t>
      </w:r>
    </w:p>
    <w:p>
      <w:pPr>
        <w:rPr>
          <w:bCs/>
        </w:rPr>
      </w:pPr>
      <w:r>
        <w:rPr>
          <w:bCs/>
          <w:color w:val="000000"/>
        </w:rPr>
        <w:t xml:space="preserve">  场地环境噪声达标统计方式</w:t>
      </w:r>
    </w:p>
    <w:p>
      <w:pPr>
        <w:rPr>
          <w:bCs/>
        </w:rPr>
      </w:pPr>
      <w:r>
        <w:rPr>
          <w:bCs/>
          <w:color w:val="000000"/>
        </w:rPr>
        <w:t xml:space="preserve">    场地内命名参评建筑物全部达标</w:t>
      </w:r>
    </w:p>
    <w:bookmarkEnd w:id="29"/>
    <w:p>
      <w:pPr>
        <w:pStyle w:val="3"/>
        <w:rPr>
          <w:sz w:val="24"/>
          <w:szCs w:val="24"/>
        </w:rPr>
      </w:pPr>
      <w:bookmarkStart w:id="30" w:name="_Toc479326726"/>
      <w:bookmarkStart w:id="31" w:name="_Toc14991"/>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路段名称</w:t>
            </w:r>
          </w:p>
        </w:tc>
        <w:tc>
          <w:tcPr>
            <w:shd w:val="clear" w:color="auto" w:fill="E6E6E6"/>
            <w:vAlign w:val="center"/>
          </w:tcPr>
          <w:p>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pPr>
              <w:jc w:val="center"/>
              <w:rPr>
                <w:sz w:val="21"/>
                <w:szCs w:val="21"/>
              </w:rPr>
            </w:pPr>
            <w:r>
              <w:rPr>
                <w:sz w:val="21"/>
                <w:szCs w:val="21"/>
              </w:rPr>
              <w:t>时段</w:t>
            </w:r>
          </w:p>
        </w:tc>
        <w:tc>
          <w:tcPr>
            <w:shd w:val="clear" w:color="auto" w:fill="E6E6E6"/>
            <w:vAlign w:val="center"/>
          </w:tcPr>
          <w:p>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pPr>
              <w:jc w:val="center"/>
              <w:rPr>
                <w:sz w:val="21"/>
                <w:szCs w:val="21"/>
              </w:rPr>
            </w:pPr>
            <w:r>
              <w:rPr>
                <w:sz w:val="21"/>
                <w:szCs w:val="21"/>
              </w:rPr>
              <w:t>大型车</w:t>
            </w:r>
            <w:r>
              <w:rPr>
                <w:sz w:val="21"/>
                <w:szCs w:val="21"/>
              </w:rPr>
              <w:br w:type="textWrapping"/>
            </w:r>
            <w:r>
              <w:rPr>
                <w:sz w:val="21"/>
                <w:szCs w:val="21"/>
              </w:rPr>
              <w:t>辆/h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公路</w:t>
            </w:r>
          </w:p>
        </w:tc>
        <w:tc>
          <w:tcPr>
            <w:vMerge w:val="restart"/>
            <w:vAlign w:val="center"/>
          </w:tcPr>
          <w:p>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pPr>
              <w:jc w:val="center"/>
              <w:rPr>
                <w:sz w:val="21"/>
                <w:szCs w:val="21"/>
              </w:rPr>
            </w:pPr>
            <w:r>
              <w:rPr>
                <w:sz w:val="21"/>
                <w:szCs w:val="21"/>
              </w:rPr>
              <w:t>4</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500</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Merge w:val="continue"/>
            <w:vAlign w:val="center"/>
          </w:tcPr>
          <w:p>
            <w:pPr>
              <w:jc w:val="center"/>
              <w:rPr>
                <w:sz w:val="21"/>
                <w:szCs w:val="21"/>
              </w:rPr>
            </w:pPr>
          </w:p>
        </w:tc>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100</w:t>
            </w:r>
          </w:p>
        </w:tc>
        <w:tc>
          <w:tcPr>
            <w:vAlign w:val="center"/>
          </w:tcPr>
          <w:p>
            <w:pPr>
              <w:jc w:val="center"/>
              <w:rPr>
                <w:sz w:val="21"/>
                <w:szCs w:val="21"/>
              </w:rPr>
            </w:pPr>
            <w:r>
              <w:rPr>
                <w:sz w:val="21"/>
                <w:szCs w:val="21"/>
              </w:rPr>
              <w:t>20</w:t>
            </w:r>
          </w:p>
        </w:tc>
        <w:tc>
          <w:tcPr>
            <w:vAlign w:val="center"/>
          </w:tcPr>
          <w:p>
            <w:pPr>
              <w:jc w:val="center"/>
              <w:rPr>
                <w:sz w:val="21"/>
                <w:szCs w:val="21"/>
              </w:rPr>
            </w:pPr>
            <w:r>
              <w:rPr>
                <w:sz w:val="21"/>
                <w:szCs w:val="21"/>
              </w:rPr>
              <w:t>0</w:t>
            </w:r>
          </w:p>
        </w:tc>
      </w:tr>
    </w:tbl>
    <w:p>
      <w:pPr>
        <w:spacing w:line="276" w:lineRule="auto"/>
        <w:jc w:val="center"/>
      </w:pPr>
    </w:p>
    <w:p>
      <w:pPr>
        <w:pStyle w:val="2"/>
        <w:rPr>
          <w:sz w:val="28"/>
          <w:szCs w:val="28"/>
        </w:rPr>
      </w:pPr>
      <w:bookmarkStart w:id="33" w:name="_Toc479326727"/>
      <w:bookmarkStart w:id="34" w:name="_Toc31158"/>
      <w:r>
        <w:rPr>
          <w:rFonts w:hint="eastAsia"/>
          <w:sz w:val="28"/>
          <w:szCs w:val="28"/>
        </w:rPr>
        <w:t>4.模拟结果</w:t>
      </w:r>
      <w:r>
        <w:rPr>
          <w:sz w:val="28"/>
          <w:szCs w:val="28"/>
        </w:rPr>
        <w:t>及分析</w:t>
      </w:r>
      <w:bookmarkEnd w:id="33"/>
      <w:bookmarkEnd w:id="34"/>
      <w:r>
        <w:rPr>
          <w:rFonts w:hint="eastAsia"/>
          <w:sz w:val="28"/>
          <w:szCs w:val="28"/>
        </w:rPr>
        <w:t xml:space="preserve"> </w:t>
      </w:r>
    </w:p>
    <w:p>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2844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pPr>
        <w:jc w:val="center"/>
      </w:pPr>
    </w:p>
    <w:p>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3150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70580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705802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70580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7058025"/>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pPr>
        <w:spacing w:before="240" w:line="276" w:lineRule="auto"/>
        <w:ind w:firstLine="420"/>
      </w:pPr>
      <w:r>
        <w:rPr>
          <w:rFonts w:hint="eastAsia"/>
        </w:rPr>
        <w:t>参评建筑昼间和夜间沿立面噪声分布情况，在每个计算立面上用圆圈标识出该面噪声最大值，昼间和夜间计算情况分别如下：</w:t>
      </w:r>
    </w:p>
    <w:p>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pPr>
        <w:widowControl/>
        <w:jc w:val="center"/>
        <w:rPr>
          <w:rFonts w:ascii="宋体" w:hAnsi="宋体"/>
        </w:rPr>
      </w:pPr>
      <w:bookmarkStart w:id="45" w:name="建筑附近声压分布鸟瞰图昼"/>
      <w:r>
        <w:drawing>
          <wp:inline distT="0" distB="0" distL="0" distR="0">
            <wp:extent cx="5667375" cy="2895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895600"/>
                    </a:xfrm>
                    <a:prstGeom prst="rect">
                      <a:avLst/>
                    </a:prstGeom>
                  </pic:spPr>
                </pic:pic>
              </a:graphicData>
            </a:graphic>
          </wp:inline>
        </w:drawing>
      </w:r>
    </w:p>
    <w:bookmarkEnd w:id="45"/>
    <w:p>
      <w:pPr>
        <w:widowControl/>
        <w:jc w:val="center"/>
        <w:rPr>
          <w:rFonts w:ascii="宋体" w:hAnsi="宋体"/>
        </w:rPr>
      </w:pPr>
    </w:p>
    <w:p>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pPr>
        <w:widowControl/>
        <w:jc w:val="center"/>
        <w:rPr>
          <w:rFonts w:ascii="宋体" w:hAnsi="宋体"/>
        </w:rPr>
      </w:pPr>
    </w:p>
    <w:p>
      <w:pPr>
        <w:widowControl/>
        <w:jc w:val="center"/>
        <w:rPr>
          <w:rFonts w:ascii="宋体" w:hAnsi="宋体"/>
        </w:rPr>
      </w:pPr>
      <w:bookmarkStart w:id="46" w:name="建筑附近声压分布鸟瞰图夜"/>
      <w:bookmarkEnd w:id="46"/>
      <w:r>
        <w:drawing>
          <wp:inline distT="0" distB="0" distL="0" distR="0">
            <wp:extent cx="5667375" cy="2895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895600"/>
                    </a:xfrm>
                    <a:prstGeom prst="rect">
                      <a:avLst/>
                    </a:prstGeom>
                  </pic:spPr>
                </pic:pic>
              </a:graphicData>
            </a:graphic>
          </wp:inline>
        </w:drawing>
      </w:r>
    </w:p>
    <w:p>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21"/>
                <w:szCs w:val="21"/>
              </w:rPr>
            </w:pPr>
            <w:r>
              <w:rPr>
                <w:sz w:val="21"/>
                <w:szCs w:val="21"/>
              </w:rPr>
              <w:t>建筑名称</w:t>
            </w:r>
          </w:p>
        </w:tc>
        <w:tc>
          <w:tcPr>
            <w:shd w:val="clear" w:color="auto" w:fill="E6E6E6"/>
            <w:vAlign w:val="center"/>
          </w:tcPr>
          <w:p>
            <w:pPr>
              <w:jc w:val="center"/>
              <w:rPr>
                <w:sz w:val="21"/>
                <w:szCs w:val="21"/>
              </w:rPr>
            </w:pPr>
            <w:r>
              <w:rPr>
                <w:sz w:val="21"/>
                <w:szCs w:val="21"/>
              </w:rPr>
              <w:t>时段</w:t>
            </w:r>
          </w:p>
        </w:tc>
        <w:tc>
          <w:tcPr>
            <w:shd w:val="clear" w:color="auto" w:fill="E6E6E6"/>
            <w:vAlign w:val="center"/>
          </w:tcPr>
          <w:p>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pPr>
              <w:jc w:val="center"/>
              <w:rPr>
                <w:sz w:val="21"/>
                <w:szCs w:val="21"/>
              </w:rPr>
            </w:pPr>
            <w:r>
              <w:rPr>
                <w:sz w:val="21"/>
                <w:szCs w:val="21"/>
              </w:rPr>
              <w:t>得分</w:t>
            </w:r>
            <w:r>
              <w:rPr>
                <w:sz w:val="21"/>
                <w:szCs w:val="21"/>
              </w:rPr>
              <w:br w:type="textWrapping"/>
            </w:r>
            <w:r>
              <w:rPr>
                <w:sz w:val="21"/>
                <w:szCs w:val="21"/>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周边建筑1</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37</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31</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周边建筑2</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42</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周边建筑3</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43</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36</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周边建筑4</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42</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35</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周边建筑5</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48</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42</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周边建筑6</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57</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周边建筑7</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59</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53</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rPr>
                <w:sz w:val="21"/>
                <w:szCs w:val="21"/>
              </w:rPr>
            </w:pPr>
            <w:r>
              <w:rPr>
                <w:sz w:val="21"/>
                <w:szCs w:val="21"/>
              </w:rPr>
              <w:t>声环境的分析</w:t>
            </w:r>
          </w:p>
        </w:tc>
        <w:tc>
          <w:tcPr>
            <w:vAlign w:val="center"/>
          </w:tcPr>
          <w:p>
            <w:pPr>
              <w:jc w:val="center"/>
              <w:rPr>
                <w:sz w:val="21"/>
                <w:szCs w:val="21"/>
              </w:rPr>
            </w:pPr>
            <w:r>
              <w:rPr>
                <w:sz w:val="21"/>
                <w:szCs w:val="21"/>
              </w:rPr>
              <w:t>昼间</w:t>
            </w:r>
          </w:p>
        </w:tc>
        <w:tc>
          <w:tcPr>
            <w:vAlign w:val="center"/>
          </w:tcPr>
          <w:p>
            <w:pPr>
              <w:jc w:val="center"/>
              <w:rPr>
                <w:sz w:val="21"/>
                <w:szCs w:val="21"/>
              </w:rPr>
            </w:pPr>
            <w:r>
              <w:rPr>
                <w:sz w:val="21"/>
                <w:szCs w:val="21"/>
              </w:rPr>
              <w:t>46</w:t>
            </w:r>
          </w:p>
        </w:tc>
        <w:tc>
          <w:tcPr>
            <w:vAlign w:val="center"/>
          </w:tcPr>
          <w:p>
            <w:pPr>
              <w:jc w:val="center"/>
              <w:rPr>
                <w:sz w:val="21"/>
                <w:szCs w:val="21"/>
              </w:rPr>
            </w:pPr>
            <w:r>
              <w:rPr>
                <w:sz w:val="21"/>
                <w:szCs w:val="21"/>
              </w:rPr>
              <w:t>60</w:t>
            </w:r>
          </w:p>
        </w:tc>
        <w:tc>
          <w:tcPr>
            <w:vAlign w:val="center"/>
          </w:tcPr>
          <w:p>
            <w:pPr>
              <w:jc w:val="center"/>
              <w:rPr>
                <w:sz w:val="21"/>
                <w:szCs w:val="21"/>
              </w:rPr>
            </w:pPr>
            <w:r>
              <w:rPr>
                <w:sz w:val="21"/>
                <w:szCs w:val="21"/>
              </w:rPr>
              <w:t>65</w:t>
            </w:r>
          </w:p>
        </w:tc>
        <w:tc>
          <w:tcPr>
            <w:vMerge w:val="restart"/>
            <w:vAlign w:val="center"/>
          </w:tcPr>
          <w:p>
            <w:pPr>
              <w:jc w:val="center"/>
              <w:rPr>
                <w:sz w:val="21"/>
                <w:szCs w:val="21"/>
              </w:rPr>
            </w:pPr>
            <w:r>
              <w:rPr>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rPr>
                <w:sz w:val="21"/>
                <w:szCs w:val="21"/>
              </w:rPr>
            </w:pPr>
          </w:p>
        </w:tc>
        <w:tc>
          <w:tcPr>
            <w:vAlign w:val="center"/>
          </w:tcPr>
          <w:p>
            <w:pPr>
              <w:jc w:val="center"/>
              <w:rPr>
                <w:sz w:val="21"/>
                <w:szCs w:val="21"/>
              </w:rPr>
            </w:pPr>
            <w:r>
              <w:rPr>
                <w:sz w:val="21"/>
                <w:szCs w:val="21"/>
              </w:rPr>
              <w:t>夜间</w:t>
            </w:r>
          </w:p>
        </w:tc>
        <w:tc>
          <w:tcPr>
            <w:vAlign w:val="center"/>
          </w:tcPr>
          <w:p>
            <w:pPr>
              <w:jc w:val="center"/>
              <w:rPr>
                <w:sz w:val="21"/>
                <w:szCs w:val="21"/>
              </w:rPr>
            </w:pPr>
            <w:r>
              <w:rPr>
                <w:sz w:val="21"/>
                <w:szCs w:val="21"/>
              </w:rPr>
              <w:t>39</w:t>
            </w:r>
          </w:p>
        </w:tc>
        <w:tc>
          <w:tcPr>
            <w:vAlign w:val="center"/>
          </w:tcPr>
          <w:p>
            <w:pPr>
              <w:jc w:val="center"/>
              <w:rPr>
                <w:sz w:val="21"/>
                <w:szCs w:val="21"/>
              </w:rPr>
            </w:pPr>
            <w:r>
              <w:rPr>
                <w:sz w:val="21"/>
                <w:szCs w:val="21"/>
              </w:rPr>
              <w:t>50</w:t>
            </w:r>
          </w:p>
        </w:tc>
        <w:tc>
          <w:tcPr>
            <w:vAlign w:val="center"/>
          </w:tcPr>
          <w:p>
            <w:pPr>
              <w:jc w:val="center"/>
              <w:rPr>
                <w:sz w:val="21"/>
                <w:szCs w:val="21"/>
              </w:rPr>
            </w:pPr>
            <w:r>
              <w:rPr>
                <w:sz w:val="21"/>
                <w:szCs w:val="21"/>
              </w:rPr>
              <w:t>55</w:t>
            </w:r>
          </w:p>
        </w:tc>
        <w:tc>
          <w:tcPr>
            <w:vMerge w:val="continue"/>
            <w:vAlign w:val="center"/>
          </w:tcPr>
          <w:p>
            <w:pPr>
              <w:jc w:val="center"/>
              <w:rPr>
                <w:sz w:val="21"/>
                <w:szCs w:val="21"/>
              </w:rPr>
            </w:pPr>
          </w:p>
        </w:tc>
      </w:tr>
    </w:tbl>
    <w:p>
      <w:pPr>
        <w:widowControl/>
        <w:jc w:val="center"/>
        <w:rPr>
          <w:rFonts w:ascii="Times New Roman" w:hAnsi="Times New Roman"/>
        </w:rPr>
      </w:pPr>
      <w:bookmarkStart w:id="47" w:name="建筑物噪声最大值统计表格"/>
      <w:bookmarkEnd w:id="47"/>
    </w:p>
    <w:p>
      <w:pPr>
        <w:pStyle w:val="2"/>
        <w:rPr>
          <w:sz w:val="28"/>
          <w:szCs w:val="28"/>
        </w:rPr>
      </w:pPr>
      <w:bookmarkStart w:id="48" w:name="_Toc479326730"/>
      <w:bookmarkStart w:id="49" w:name="_Toc17603"/>
      <w:r>
        <w:rPr>
          <w:rFonts w:hint="eastAsia"/>
          <w:sz w:val="28"/>
          <w:szCs w:val="28"/>
        </w:rPr>
        <w:t>5.结论</w:t>
      </w:r>
      <w:bookmarkEnd w:id="48"/>
      <w:bookmarkEnd w:id="49"/>
    </w:p>
    <w:p>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rPr>
                <w:bCs/>
              </w:rPr>
            </w:pPr>
            <w:bookmarkStart w:id="50" w:name="昼间噪声最大值"/>
            <w:r>
              <w:rPr>
                <w:bCs/>
              </w:rPr>
              <w:t>59</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rPr>
                <w:b/>
                <w:bCs/>
              </w:rPr>
            </w:pPr>
            <w:bookmarkStart w:id="51" w:name="得分情况"/>
            <w:r>
              <w:rPr>
                <w:b/>
                <w:bCs/>
              </w:rPr>
              <w:t>5</w:t>
            </w:r>
            <w:bookmarkEnd w:id="51"/>
            <w:r>
              <w:rPr>
                <w:rFonts w:hint="eastAsia"/>
                <w:b/>
                <w:bCs/>
              </w:rPr>
              <w:t>分</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Cs/>
              </w:rPr>
            </w:pPr>
            <w:bookmarkStart w:id="52" w:name="夜间噪声最大值"/>
            <w:r>
              <w:rPr>
                <w:bCs/>
              </w:rPr>
              <w:t>53</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5Y2EwNzgxMTQ1MDI5ZGQ4NDQ3OTM2ZWQ2MWQyZGIifQ=="/>
  </w:docVars>
  <w:rsids>
    <w:rsidRoot w:val="104B51E6"/>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104B5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autoRedefine/>
    <w:unhideWhenUsed/>
    <w:qFormat/>
    <w:uiPriority w:val="9"/>
    <w:pPr>
      <w:keepNext/>
      <w:keepLines/>
      <w:spacing w:before="260" w:after="260"/>
      <w:outlineLvl w:val="1"/>
    </w:pPr>
    <w:rPr>
      <w:b/>
      <w:bCs/>
      <w:sz w:val="32"/>
      <w:szCs w:val="32"/>
    </w:rPr>
  </w:style>
  <w:style w:type="paragraph" w:styleId="4">
    <w:name w:val="heading 3"/>
    <w:basedOn w:val="1"/>
    <w:next w:val="1"/>
    <w:link w:val="26"/>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autoRedefine/>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autoRedefine/>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tmp6.dotx</Template>
  <Pages>14</Pages>
  <Words>2784</Words>
  <Characters>3287</Characters>
  <Lines>27</Lines>
  <Paragraphs>7</Paragraphs>
  <TotalTime>0</TotalTime>
  <ScaleCrop>false</ScaleCrop>
  <LinksUpToDate>false</LinksUpToDate>
  <CharactersWithSpaces>3522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2024-12-21T13:06:00Z</dcterms:created>
  <dc:creator>WPS_1662513309</dc:creator>
  <cp:lastModifiedBy>WPS_1662513309</cp:lastModifiedBy>
  <dcterms:modified xsi:type="dcterms:W3CDTF">2024-12-21T13:07:27Z</dcterms:modified>
  <dc:title>声环境总平图室外噪声分析报告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DD85DAA2E3B54EB2AC0373E39AFEDA7D_11</vt:lpwstr>
  </property>
  <property fmtid="{D5CDD505-2E9C-101B-9397-08002B2CF9AE}" pid="3" name="KSOProductBuildVer">
    <vt:lpwstr>2052-12.1.0.16388</vt:lpwstr>
  </property>
</Properties>
</file>