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szCs w:val="21"/>
        </w:rPr>
      </w:pPr>
    </w:p>
    <w:p w14:paraId="3CEE3390">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szCs w:val="21"/>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szCs w:val="21"/>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szCs w:val="21"/>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14:paraId="0D66D322">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r>
              <w:rPr>
                <w:rFonts w:hint="eastAsia"/>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r>
              <w:rPr>
                <w:rFonts w:hint="eastAsia"/>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r>
              <w:rPr>
                <w:rFonts w:hint="eastAsia"/>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hAnsi="Times New Roman" w:cs="宋体"/>
                <w:lang w:val="zh-CN"/>
              </w:rPr>
            </w:pPr>
            <w:r>
              <w:rPr>
                <w:rFonts w:hint="eastAsia"/>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r>
              <w:rPr>
                <w:rFonts w:hint="eastAsia"/>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T13383870715</w:t>
            </w:r>
            <w:bookmarkEnd w:id="7"/>
          </w:p>
          <w:p w14:paraId="328C3CD1"/>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330A1AA">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_Toc7919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_Toc7919 \h </w:instrText>
      </w:r>
      <w:r>
        <w:fldChar w:fldCharType="separate"/>
      </w:r>
      <w:r>
        <w:t>1</w:t>
      </w:r>
      <w:r>
        <w:fldChar w:fldCharType="end"/>
      </w:r>
      <w:r>
        <w:rPr>
          <w:rFonts w:ascii="宋体" w:hAnsi="宋体"/>
          <w:caps/>
        </w:rPr>
        <w:fldChar w:fldCharType="end"/>
      </w:r>
    </w:p>
    <w:p w14:paraId="68659B0F">
      <w:pPr>
        <w:pStyle w:val="12"/>
        <w:tabs>
          <w:tab w:val="right" w:leader="dot" w:pos="9070"/>
          <w:tab w:val="clear" w:pos="180"/>
          <w:tab w:val="clear" w:pos="9360"/>
        </w:tabs>
      </w:pPr>
      <w:r>
        <w:fldChar w:fldCharType="begin"/>
      </w:r>
      <w:r>
        <w:instrText xml:space="preserve"> HYPERLINK \l _Toc25640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_Toc25640 \h </w:instrText>
      </w:r>
      <w:r>
        <w:fldChar w:fldCharType="separate"/>
      </w:r>
      <w:r>
        <w:t>1</w:t>
      </w:r>
      <w:r>
        <w:fldChar w:fldCharType="end"/>
      </w:r>
      <w:r>
        <w:fldChar w:fldCharType="end"/>
      </w:r>
    </w:p>
    <w:p w14:paraId="2E125B7E">
      <w:pPr>
        <w:pStyle w:val="13"/>
        <w:tabs>
          <w:tab w:val="right" w:leader="dot" w:pos="9070"/>
          <w:tab w:val="clear" w:pos="540"/>
          <w:tab w:val="clear" w:pos="9360"/>
        </w:tabs>
      </w:pPr>
      <w:r>
        <w:fldChar w:fldCharType="begin"/>
      </w:r>
      <w:r>
        <w:instrText xml:space="preserve"> HYPERLINK \l _Toc29910 </w:instrText>
      </w:r>
      <w:r>
        <w:fldChar w:fldCharType="separate"/>
      </w:r>
      <w:r>
        <w:rPr>
          <w:rFonts w:hint="eastAsia"/>
          <w:szCs w:val="24"/>
        </w:rPr>
        <w:t>2.1评价</w:t>
      </w:r>
      <w:r>
        <w:rPr>
          <w:szCs w:val="24"/>
        </w:rPr>
        <w:t>依据</w:t>
      </w:r>
      <w:r>
        <w:tab/>
      </w:r>
      <w:r>
        <w:fldChar w:fldCharType="begin"/>
      </w:r>
      <w:r>
        <w:instrText xml:space="preserve"> PAGEREF _Toc29910 \h </w:instrText>
      </w:r>
      <w:r>
        <w:fldChar w:fldCharType="separate"/>
      </w:r>
      <w:r>
        <w:t>1</w:t>
      </w:r>
      <w:r>
        <w:fldChar w:fldCharType="end"/>
      </w:r>
      <w:r>
        <w:fldChar w:fldCharType="end"/>
      </w:r>
    </w:p>
    <w:p w14:paraId="1391268B">
      <w:pPr>
        <w:pStyle w:val="13"/>
        <w:tabs>
          <w:tab w:val="right" w:leader="dot" w:pos="9070"/>
          <w:tab w:val="clear" w:pos="540"/>
          <w:tab w:val="clear" w:pos="9360"/>
        </w:tabs>
      </w:pPr>
      <w:r>
        <w:fldChar w:fldCharType="begin"/>
      </w:r>
      <w:r>
        <w:instrText xml:space="preserve"> HYPERLINK \l _Toc30574 </w:instrText>
      </w:r>
      <w:r>
        <w:fldChar w:fldCharType="separate"/>
      </w:r>
      <w:r>
        <w:rPr>
          <w:rFonts w:hint="eastAsia"/>
          <w:szCs w:val="24"/>
        </w:rPr>
        <w:t>2.2标准</w:t>
      </w:r>
      <w:r>
        <w:rPr>
          <w:szCs w:val="24"/>
        </w:rPr>
        <w:t>要求</w:t>
      </w:r>
      <w:r>
        <w:tab/>
      </w:r>
      <w:r>
        <w:fldChar w:fldCharType="begin"/>
      </w:r>
      <w:r>
        <w:instrText xml:space="preserve"> PAGEREF _Toc30574 \h </w:instrText>
      </w:r>
      <w:r>
        <w:fldChar w:fldCharType="separate"/>
      </w:r>
      <w:r>
        <w:t>1</w:t>
      </w:r>
      <w:r>
        <w:fldChar w:fldCharType="end"/>
      </w:r>
      <w:r>
        <w:fldChar w:fldCharType="end"/>
      </w:r>
    </w:p>
    <w:p w14:paraId="509D3471">
      <w:pPr>
        <w:pStyle w:val="12"/>
        <w:tabs>
          <w:tab w:val="right" w:leader="dot" w:pos="9070"/>
          <w:tab w:val="clear" w:pos="180"/>
          <w:tab w:val="clear" w:pos="9360"/>
        </w:tabs>
      </w:pPr>
      <w:r>
        <w:fldChar w:fldCharType="begin"/>
      </w:r>
      <w:r>
        <w:instrText xml:space="preserve"> HYPERLINK \l _Toc4270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_Toc4270 \h </w:instrText>
      </w:r>
      <w:r>
        <w:fldChar w:fldCharType="separate"/>
      </w:r>
      <w:r>
        <w:t>2</w:t>
      </w:r>
      <w:r>
        <w:fldChar w:fldCharType="end"/>
      </w:r>
      <w:r>
        <w:fldChar w:fldCharType="end"/>
      </w:r>
    </w:p>
    <w:p w14:paraId="370FC763">
      <w:pPr>
        <w:pStyle w:val="13"/>
        <w:tabs>
          <w:tab w:val="right" w:leader="dot" w:pos="9070"/>
          <w:tab w:val="clear" w:pos="540"/>
          <w:tab w:val="clear" w:pos="9360"/>
        </w:tabs>
      </w:pPr>
      <w:r>
        <w:fldChar w:fldCharType="begin"/>
      </w:r>
      <w:r>
        <w:instrText xml:space="preserve"> HYPERLINK \l _Toc25864 </w:instrText>
      </w:r>
      <w:r>
        <w:fldChar w:fldCharType="separate"/>
      </w:r>
      <w:r>
        <w:rPr>
          <w:rFonts w:hint="eastAsia"/>
          <w:szCs w:val="24"/>
        </w:rPr>
        <w:t>3.1模拟软件</w:t>
      </w:r>
      <w:r>
        <w:tab/>
      </w:r>
      <w:r>
        <w:fldChar w:fldCharType="begin"/>
      </w:r>
      <w:r>
        <w:instrText xml:space="preserve"> PAGEREF _Toc25864 \h </w:instrText>
      </w:r>
      <w:r>
        <w:fldChar w:fldCharType="separate"/>
      </w:r>
      <w:r>
        <w:t>2</w:t>
      </w:r>
      <w:r>
        <w:fldChar w:fldCharType="end"/>
      </w:r>
      <w:r>
        <w:fldChar w:fldCharType="end"/>
      </w:r>
    </w:p>
    <w:p w14:paraId="0B60B8C2">
      <w:pPr>
        <w:pStyle w:val="13"/>
        <w:tabs>
          <w:tab w:val="right" w:leader="dot" w:pos="9070"/>
          <w:tab w:val="clear" w:pos="540"/>
          <w:tab w:val="clear" w:pos="9360"/>
        </w:tabs>
      </w:pPr>
      <w:r>
        <w:fldChar w:fldCharType="begin"/>
      </w:r>
      <w:r>
        <w:instrText xml:space="preserve"> HYPERLINK \l _Toc15897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_Toc15897 \h </w:instrText>
      </w:r>
      <w:r>
        <w:fldChar w:fldCharType="separate"/>
      </w:r>
      <w:r>
        <w:t>2</w:t>
      </w:r>
      <w:r>
        <w:fldChar w:fldCharType="end"/>
      </w:r>
      <w:r>
        <w:fldChar w:fldCharType="end"/>
      </w:r>
    </w:p>
    <w:p w14:paraId="3CF44B36">
      <w:pPr>
        <w:pStyle w:val="13"/>
        <w:tabs>
          <w:tab w:val="right" w:leader="dot" w:pos="9070"/>
          <w:tab w:val="clear" w:pos="540"/>
          <w:tab w:val="clear" w:pos="9360"/>
        </w:tabs>
      </w:pPr>
      <w:r>
        <w:fldChar w:fldCharType="begin"/>
      </w:r>
      <w:r>
        <w:instrText xml:space="preserve"> HYPERLINK \l _Toc19769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_Toc19769 \h </w:instrText>
      </w:r>
      <w:r>
        <w:fldChar w:fldCharType="separate"/>
      </w:r>
      <w:r>
        <w:t>4</w:t>
      </w:r>
      <w:r>
        <w:fldChar w:fldCharType="end"/>
      </w:r>
      <w:r>
        <w:fldChar w:fldCharType="end"/>
      </w:r>
    </w:p>
    <w:p w14:paraId="1AC62349">
      <w:pPr>
        <w:pStyle w:val="13"/>
        <w:tabs>
          <w:tab w:val="right" w:leader="dot" w:pos="9070"/>
          <w:tab w:val="clear" w:pos="540"/>
          <w:tab w:val="clear" w:pos="9360"/>
        </w:tabs>
      </w:pPr>
      <w:r>
        <w:fldChar w:fldCharType="begin"/>
      </w:r>
      <w:r>
        <w:instrText xml:space="preserve"> HYPERLINK \l _Toc15060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_Toc15060 \h </w:instrText>
      </w:r>
      <w:r>
        <w:fldChar w:fldCharType="separate"/>
      </w:r>
      <w:r>
        <w:t>4</w:t>
      </w:r>
      <w:r>
        <w:fldChar w:fldCharType="end"/>
      </w:r>
      <w:r>
        <w:fldChar w:fldCharType="end"/>
      </w:r>
    </w:p>
    <w:p w14:paraId="5457B57E">
      <w:pPr>
        <w:pStyle w:val="12"/>
        <w:tabs>
          <w:tab w:val="right" w:leader="dot" w:pos="9070"/>
          <w:tab w:val="clear" w:pos="180"/>
          <w:tab w:val="clear" w:pos="9360"/>
        </w:tabs>
      </w:pPr>
      <w:r>
        <w:fldChar w:fldCharType="begin"/>
      </w:r>
      <w:r>
        <w:instrText xml:space="preserve"> HYPERLINK \l _Toc9027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_Toc9027 \h </w:instrText>
      </w:r>
      <w:r>
        <w:fldChar w:fldCharType="separate"/>
      </w:r>
      <w:r>
        <w:t>5</w:t>
      </w:r>
      <w:r>
        <w:fldChar w:fldCharType="end"/>
      </w:r>
      <w:r>
        <w:fldChar w:fldCharType="end"/>
      </w:r>
    </w:p>
    <w:p w14:paraId="4D23BD0B">
      <w:pPr>
        <w:pStyle w:val="13"/>
        <w:tabs>
          <w:tab w:val="right" w:leader="dot" w:pos="9070"/>
          <w:tab w:val="clear" w:pos="540"/>
          <w:tab w:val="clear" w:pos="9360"/>
        </w:tabs>
      </w:pPr>
      <w:r>
        <w:fldChar w:fldCharType="begin"/>
      </w:r>
      <w:r>
        <w:instrText xml:space="preserve"> HYPERLINK \l _Toc4006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_Toc4006 \h </w:instrText>
      </w:r>
      <w:r>
        <w:fldChar w:fldCharType="separate"/>
      </w:r>
      <w:r>
        <w:t>5</w:t>
      </w:r>
      <w:r>
        <w:fldChar w:fldCharType="end"/>
      </w:r>
      <w:r>
        <w:fldChar w:fldCharType="end"/>
      </w:r>
    </w:p>
    <w:p w14:paraId="519FA79B">
      <w:pPr>
        <w:pStyle w:val="13"/>
        <w:tabs>
          <w:tab w:val="right" w:leader="dot" w:pos="9070"/>
          <w:tab w:val="clear" w:pos="540"/>
          <w:tab w:val="clear" w:pos="9360"/>
        </w:tabs>
      </w:pPr>
      <w:r>
        <w:fldChar w:fldCharType="begin"/>
      </w:r>
      <w:r>
        <w:instrText xml:space="preserve"> HYPERLINK \l _Toc27930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_Toc27930 \h </w:instrText>
      </w:r>
      <w:r>
        <w:fldChar w:fldCharType="separate"/>
      </w:r>
      <w:r>
        <w:t>8</w:t>
      </w:r>
      <w:r>
        <w:fldChar w:fldCharType="end"/>
      </w:r>
      <w:r>
        <w:fldChar w:fldCharType="end"/>
      </w:r>
    </w:p>
    <w:p w14:paraId="75F3349A">
      <w:pPr>
        <w:pStyle w:val="12"/>
        <w:tabs>
          <w:tab w:val="right" w:leader="dot" w:pos="9070"/>
          <w:tab w:val="clear" w:pos="180"/>
          <w:tab w:val="clear" w:pos="9360"/>
        </w:tabs>
      </w:pPr>
      <w:r>
        <w:fldChar w:fldCharType="begin"/>
      </w:r>
      <w:r>
        <w:instrText xml:space="preserve"> HYPERLINK \l _Toc29143 </w:instrText>
      </w:r>
      <w:r>
        <w:fldChar w:fldCharType="separate"/>
      </w:r>
      <w:r>
        <w:rPr>
          <w:rFonts w:hint="eastAsia" w:ascii="Times New Roman" w:hAnsi="Times New Roman"/>
          <w:szCs w:val="28"/>
        </w:rPr>
        <w:t>5.结论</w:t>
      </w:r>
      <w:r>
        <w:tab/>
      </w:r>
      <w:r>
        <w:fldChar w:fldCharType="begin"/>
      </w:r>
      <w:r>
        <w:instrText xml:space="preserve"> PAGEREF _Toc29143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78CA1D74">
      <w:pPr>
        <w:sectPr>
          <w:footerReference r:id="rId3"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7919"/>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89AB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F004B1">
            <w:pPr>
              <w:jc w:val="center"/>
              <w:rPr>
                <w:sz w:val="21"/>
                <w:szCs w:val="21"/>
              </w:rPr>
            </w:pPr>
            <w:r>
              <w:rPr>
                <w:sz w:val="21"/>
                <w:szCs w:val="21"/>
              </w:rPr>
              <w:t>名称</w:t>
            </w:r>
          </w:p>
        </w:tc>
        <w:tc>
          <w:tcPr>
            <w:shd w:val="clear" w:color="auto" w:fill="E6E6E6"/>
            <w:vAlign w:val="center"/>
          </w:tcPr>
          <w:p w14:paraId="53F63FFD">
            <w:pPr>
              <w:jc w:val="center"/>
              <w:rPr>
                <w:sz w:val="21"/>
                <w:szCs w:val="21"/>
              </w:rPr>
            </w:pPr>
            <w:r>
              <w:rPr>
                <w:sz w:val="21"/>
                <w:szCs w:val="21"/>
              </w:rPr>
              <w:t>建筑高度(米)</w:t>
            </w:r>
          </w:p>
        </w:tc>
        <w:tc>
          <w:tcPr>
            <w:shd w:val="clear" w:color="auto" w:fill="E6E6E6"/>
            <w:vAlign w:val="center"/>
          </w:tcPr>
          <w:p w14:paraId="0EFF0957">
            <w:pPr>
              <w:jc w:val="center"/>
              <w:rPr>
                <w:sz w:val="21"/>
                <w:szCs w:val="21"/>
              </w:rPr>
            </w:pPr>
            <w:r>
              <w:rPr>
                <w:sz w:val="21"/>
                <w:szCs w:val="21"/>
              </w:rPr>
              <w:t>底标高(米)</w:t>
            </w:r>
          </w:p>
        </w:tc>
      </w:tr>
      <w:tr w14:paraId="575A2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FDF143">
            <w:pPr>
              <w:jc w:val="center"/>
              <w:rPr>
                <w:sz w:val="21"/>
                <w:szCs w:val="21"/>
              </w:rPr>
            </w:pPr>
            <w:r>
              <w:rPr>
                <w:sz w:val="21"/>
                <w:szCs w:val="21"/>
              </w:rPr>
              <w:t>其他建筑</w:t>
            </w:r>
          </w:p>
        </w:tc>
        <w:tc>
          <w:tcPr>
            <w:vAlign w:val="center"/>
          </w:tcPr>
          <w:p w14:paraId="5CE66D35">
            <w:pPr>
              <w:jc w:val="center"/>
              <w:rPr>
                <w:sz w:val="21"/>
                <w:szCs w:val="21"/>
              </w:rPr>
            </w:pPr>
            <w:r>
              <w:rPr>
                <w:sz w:val="21"/>
                <w:szCs w:val="21"/>
              </w:rPr>
              <w:t>16.00</w:t>
            </w:r>
          </w:p>
        </w:tc>
        <w:tc>
          <w:tcPr>
            <w:vAlign w:val="center"/>
          </w:tcPr>
          <w:p w14:paraId="26CE61C4">
            <w:pPr>
              <w:jc w:val="center"/>
              <w:rPr>
                <w:sz w:val="21"/>
                <w:szCs w:val="21"/>
              </w:rPr>
            </w:pPr>
            <w:r>
              <w:rPr>
                <w:sz w:val="21"/>
                <w:szCs w:val="21"/>
              </w:rPr>
              <w:t>0.00</w:t>
            </w:r>
          </w:p>
        </w:tc>
      </w:tr>
    </w:tbl>
    <w:p w14:paraId="2A769954">
      <w:pPr>
        <w:jc w:val="center"/>
      </w:pPr>
      <w:bookmarkStart w:id="11" w:name="参评建筑信息表"/>
      <w:bookmarkEnd w:id="11"/>
    </w:p>
    <w:p w14:paraId="22E4EB95">
      <w:pPr>
        <w:pStyle w:val="2"/>
        <w:rPr>
          <w:rFonts w:ascii="Times New Roman" w:hAnsi="Times New Roman"/>
          <w:sz w:val="28"/>
          <w:szCs w:val="28"/>
        </w:rPr>
      </w:pPr>
      <w:bookmarkStart w:id="12" w:name="_Toc479326718"/>
      <w:bookmarkStart w:id="13" w:name="_Toc25640"/>
      <w:r>
        <w:rPr>
          <w:rFonts w:hint="eastAsia" w:ascii="Times New Roman" w:hAnsi="Times New Roman"/>
          <w:sz w:val="28"/>
          <w:szCs w:val="28"/>
        </w:rPr>
        <w:t>2.评价</w:t>
      </w:r>
      <w:r>
        <w:rPr>
          <w:rFonts w:ascii="Times New Roman" w:hAnsi="Times New Roman"/>
          <w:sz w:val="28"/>
          <w:szCs w:val="28"/>
        </w:rPr>
        <w:t>标准</w:t>
      </w:r>
      <w:bookmarkEnd w:id="12"/>
      <w:bookmarkEnd w:id="13"/>
    </w:p>
    <w:p w14:paraId="432E7238">
      <w:pPr>
        <w:pStyle w:val="3"/>
        <w:rPr>
          <w:sz w:val="24"/>
          <w:szCs w:val="24"/>
        </w:rPr>
      </w:pPr>
      <w:bookmarkStart w:id="14" w:name="_Toc479326719"/>
      <w:bookmarkStart w:id="15" w:name="_Toc29910"/>
      <w:r>
        <w:rPr>
          <w:rFonts w:hint="eastAsia"/>
          <w:sz w:val="24"/>
          <w:szCs w:val="24"/>
        </w:rPr>
        <w:t>2.1评价</w:t>
      </w:r>
      <w:r>
        <w:rPr>
          <w:sz w:val="24"/>
          <w:szCs w:val="24"/>
        </w:rPr>
        <w:t>依据</w:t>
      </w:r>
      <w:bookmarkEnd w:id="14"/>
      <w:bookmarkEnd w:id="15"/>
    </w:p>
    <w:p w14:paraId="0A4626E0">
      <w:pPr>
        <w:pStyle w:val="25"/>
        <w:numPr>
          <w:ilvl w:val="0"/>
          <w:numId w:val="1"/>
        </w:numPr>
        <w:ind w:firstLineChars="0"/>
      </w:pPr>
      <w:bookmarkStart w:id="16" w:name="标准名称1"/>
      <w:bookmarkStart w:id="17" w:name="_Hlk13924517"/>
      <w:bookmarkStart w:id="18" w:name="_Toc479326720"/>
      <w:r>
        <w:rPr>
          <w:rFonts w:hint="eastAsia"/>
        </w:rPr>
        <w:t>河南省《绿色建筑评价标准》DBJ41/T 109—2020</w:t>
      </w:r>
      <w:bookmarkEnd w:id="16"/>
    </w:p>
    <w:p w14:paraId="67E0A5EF">
      <w:pPr>
        <w:pStyle w:val="25"/>
        <w:numPr>
          <w:ilvl w:val="0"/>
          <w:numId w:val="1"/>
        </w:numPr>
        <w:ind w:firstLineChars="0"/>
      </w:pPr>
      <w:r>
        <w:rPr>
          <w:rFonts w:hint="eastAsia"/>
        </w:rPr>
        <w:t>《绿色建筑评价标准》</w:t>
      </w:r>
      <w:r>
        <w:t>GB</w:t>
      </w:r>
      <w:r>
        <w:rPr>
          <w:rFonts w:hint="eastAsia"/>
        </w:rPr>
        <w:t xml:space="preserve"> </w:t>
      </w:r>
      <w:r>
        <w:t>50378-2019</w:t>
      </w:r>
      <w:bookmarkEnd w:id="17"/>
      <w:r>
        <w:t xml:space="preserve"> </w:t>
      </w:r>
    </w:p>
    <w:p w14:paraId="304AA8A1">
      <w:pPr>
        <w:pStyle w:val="25"/>
        <w:numPr>
          <w:ilvl w:val="0"/>
          <w:numId w:val="1"/>
        </w:numPr>
        <w:ind w:firstLineChars="0"/>
      </w:pPr>
      <w:r>
        <w:rPr>
          <w:rFonts w:hint="eastAsia"/>
        </w:rPr>
        <w:t>《绿色建筑评价</w:t>
      </w:r>
      <w:r>
        <w:t>技术细则</w:t>
      </w:r>
      <w:r>
        <w:rPr>
          <w:rFonts w:hint="eastAsia"/>
        </w:rPr>
        <w:t>》2019</w:t>
      </w:r>
    </w:p>
    <w:p w14:paraId="3B33E40F">
      <w:pPr>
        <w:pStyle w:val="25"/>
        <w:numPr>
          <w:ilvl w:val="0"/>
          <w:numId w:val="1"/>
        </w:numPr>
        <w:ind w:firstLineChars="0"/>
      </w:pPr>
      <w:r>
        <w:rPr>
          <w:rFonts w:hint="eastAsia"/>
        </w:rPr>
        <w:t>《声环境质量标准》</w:t>
      </w:r>
      <w:r>
        <w:t xml:space="preserve">GB 3096-2008 </w:t>
      </w:r>
    </w:p>
    <w:p w14:paraId="50C0D66F">
      <w:pPr>
        <w:pStyle w:val="25"/>
        <w:numPr>
          <w:ilvl w:val="0"/>
          <w:numId w:val="1"/>
        </w:numPr>
        <w:ind w:firstLineChars="0"/>
      </w:pPr>
      <w:r>
        <w:rPr>
          <w:rFonts w:hint="eastAsia"/>
        </w:rPr>
        <w:t>《环境</w:t>
      </w:r>
      <w:r>
        <w:t>影响评价技术</w:t>
      </w:r>
      <w:r>
        <w:rPr>
          <w:rFonts w:hint="eastAsia"/>
        </w:rPr>
        <w:t>导则 声环境》HJ</w:t>
      </w:r>
      <w:r>
        <w:t>2.4-2009</w:t>
      </w:r>
    </w:p>
    <w:p w14:paraId="10EF4901">
      <w:pPr>
        <w:pStyle w:val="25"/>
        <w:numPr>
          <w:ilvl w:val="0"/>
          <w:numId w:val="1"/>
        </w:numPr>
        <w:ind w:firstLineChars="0"/>
      </w:pPr>
      <w:r>
        <w:rPr>
          <w:rFonts w:hint="eastAsia"/>
        </w:rPr>
        <w:t>《声环境功能区划分技术规范》</w:t>
      </w:r>
      <w:r>
        <w:t>GB/T 15190-2014</w:t>
      </w:r>
    </w:p>
    <w:p w14:paraId="46D05553">
      <w:pPr>
        <w:pStyle w:val="25"/>
        <w:numPr>
          <w:ilvl w:val="0"/>
          <w:numId w:val="1"/>
        </w:numPr>
        <w:ind w:firstLineChars="0"/>
      </w:pPr>
      <w:r>
        <w:rPr>
          <w:rFonts w:hint="eastAsia"/>
        </w:rPr>
        <w:t>《</w:t>
      </w:r>
      <w:r>
        <w:t>民用建筑绿色性能计算标准</w:t>
      </w:r>
      <w:r>
        <w:rPr>
          <w:rFonts w:hint="eastAsia"/>
        </w:rPr>
        <w:t>》</w:t>
      </w:r>
      <w:r>
        <w:t xml:space="preserve">JGJ/T 449-2018 </w:t>
      </w:r>
    </w:p>
    <w:p w14:paraId="05EE3692">
      <w:pPr>
        <w:pStyle w:val="3"/>
        <w:rPr>
          <w:sz w:val="24"/>
          <w:szCs w:val="24"/>
        </w:rPr>
      </w:pPr>
      <w:bookmarkStart w:id="19" w:name="_Toc30574"/>
      <w:r>
        <w:rPr>
          <w:rFonts w:hint="eastAsia"/>
          <w:sz w:val="24"/>
          <w:szCs w:val="24"/>
        </w:rPr>
        <w:t>2.2标准</w:t>
      </w:r>
      <w:r>
        <w:rPr>
          <w:sz w:val="24"/>
          <w:szCs w:val="24"/>
        </w:rPr>
        <w:t>要求</w:t>
      </w:r>
      <w:bookmarkEnd w:id="18"/>
      <w:bookmarkEnd w:id="19"/>
    </w:p>
    <w:p w14:paraId="1EB0440D">
      <w:pPr>
        <w:pStyle w:val="25"/>
        <w:numPr>
          <w:ilvl w:val="0"/>
          <w:numId w:val="2"/>
        </w:numPr>
        <w:ind w:firstLineChars="0"/>
      </w:pPr>
      <w:bookmarkStart w:id="20" w:name="标准名称2"/>
      <w:r>
        <w:rPr>
          <w:rFonts w:hint="eastAsia"/>
        </w:rPr>
        <w:t>河南省《绿色建筑评价标准》DBJ41/T 109—2020</w:t>
      </w:r>
      <w:bookmarkEnd w:id="20"/>
      <w:r>
        <w:rPr>
          <w:rFonts w:hint="eastAsia"/>
        </w:rPr>
        <w:t>中规定：</w:t>
      </w:r>
    </w:p>
    <w:p w14:paraId="0F2C979C">
      <w:pPr>
        <w:pStyle w:val="25"/>
        <w:ind w:left="420" w:firstLine="0" w:firstLineChars="0"/>
      </w:pPr>
      <w:bookmarkStart w:id="21" w:name="室外条文内容"/>
      <w:r>
        <w:t>8.2.6 场地内的环境噪声优于现行国家标准《声环境质量标准》GB 3096 的要求，评价总分值为10分，并按下列规则评分：</w:t>
      </w:r>
    </w:p>
    <w:p w14:paraId="302F9994">
      <w:pPr>
        <w:pStyle w:val="25"/>
        <w:ind w:left="420" w:firstLine="0" w:firstLineChars="0"/>
      </w:pPr>
      <w:r>
        <w:t xml:space="preserve">  1 环境噪声值大于2类声环境功能区标准限值，且小于等于3类声环境功能区标准限值，得5分；</w:t>
      </w:r>
    </w:p>
    <w:p w14:paraId="123C235B">
      <w:pPr>
        <w:pStyle w:val="25"/>
        <w:ind w:left="420" w:firstLine="0" w:firstLineChars="0"/>
      </w:pPr>
      <w:r>
        <w:t xml:space="preserve">  2 环境噪声值小于等于2类声环境功能区标准限值，得10分。</w:t>
      </w:r>
    </w:p>
    <w:bookmarkEnd w:id="21"/>
    <w:p w14:paraId="140864AF">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14:paraId="237CC964">
      <w:pPr>
        <w:widowControl/>
        <w:wordWrap w:val="0"/>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 w:val="18"/>
              </w:rPr>
            </w:pPr>
            <w:r>
              <w:rPr>
                <w:rFonts w:hint="eastAsia"/>
                <w:sz w:val="18"/>
              </w:rPr>
              <w:t>声环境</w:t>
            </w:r>
          </w:p>
          <w:p w14:paraId="0A10B545">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 w:val="18"/>
              </w:rPr>
            </w:pPr>
            <w:r>
              <w:rPr>
                <w:rFonts w:hint="eastAsia"/>
                <w:sz w:val="18"/>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 w:val="18"/>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 w:val="18"/>
              </w:rPr>
            </w:pPr>
            <w:r>
              <w:rPr>
                <w:rFonts w:hint="eastAsia"/>
                <w:sz w:val="18"/>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 w:val="18"/>
              </w:rPr>
            </w:pPr>
            <w:r>
              <w:rPr>
                <w:rFonts w:hint="eastAsia"/>
                <w:sz w:val="18"/>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 w:val="18"/>
              </w:rPr>
            </w:pPr>
            <w:r>
              <w:rPr>
                <w:rFonts w:hint="eastAsia"/>
                <w:sz w:val="18"/>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 w:val="18"/>
              </w:rPr>
            </w:pPr>
            <w:r>
              <w:rPr>
                <w:rFonts w:hint="eastAsia"/>
                <w:sz w:val="18"/>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 w:val="18"/>
              </w:rPr>
            </w:pPr>
            <w:r>
              <w:rPr>
                <w:rFonts w:hint="eastAsia"/>
                <w:sz w:val="18"/>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14:paraId="2350D8EB">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14:paraId="6F9E6864">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14:paraId="2B17A6EF">
      <w:pPr>
        <w:pStyle w:val="2"/>
        <w:rPr>
          <w:rFonts w:ascii="Times New Roman" w:hAnsi="Times New Roman"/>
          <w:sz w:val="28"/>
          <w:szCs w:val="28"/>
        </w:rPr>
      </w:pPr>
      <w:bookmarkStart w:id="22" w:name="声功能区类别表格"/>
      <w:bookmarkEnd w:id="22"/>
      <w:bookmarkStart w:id="23" w:name="_Toc479326721"/>
      <w:bookmarkStart w:id="24" w:name="_Toc4270"/>
      <w:r>
        <w:rPr>
          <w:rFonts w:hint="eastAsia" w:ascii="Times New Roman" w:hAnsi="Times New Roman"/>
          <w:sz w:val="28"/>
          <w:szCs w:val="28"/>
        </w:rPr>
        <w:t>3.模拟</w:t>
      </w:r>
      <w:r>
        <w:rPr>
          <w:rFonts w:ascii="Times New Roman" w:hAnsi="Times New Roman"/>
          <w:sz w:val="28"/>
          <w:szCs w:val="28"/>
        </w:rPr>
        <w:t>方法</w:t>
      </w:r>
      <w:bookmarkEnd w:id="23"/>
      <w:bookmarkEnd w:id="24"/>
    </w:p>
    <w:p w14:paraId="456BFA29">
      <w:pPr>
        <w:pStyle w:val="3"/>
        <w:rPr>
          <w:sz w:val="24"/>
          <w:szCs w:val="24"/>
        </w:rPr>
      </w:pPr>
      <w:bookmarkStart w:id="25" w:name="_Toc479326722"/>
      <w:bookmarkStart w:id="26" w:name="_Toc25864"/>
      <w:r>
        <w:rPr>
          <w:rFonts w:hint="eastAsia"/>
          <w:sz w:val="24"/>
          <w:szCs w:val="24"/>
        </w:rPr>
        <w:t>3.1模拟软件</w:t>
      </w:r>
      <w:bookmarkEnd w:id="25"/>
      <w:bookmarkEnd w:id="26"/>
    </w:p>
    <w:p w14:paraId="5A68E0D8">
      <w:pPr>
        <w:pStyle w:val="33"/>
        <w:spacing w:line="276" w:lineRule="auto"/>
        <w:ind w:firstLine="420"/>
        <w:rPr>
          <w:rFonts w:ascii="微软雅黑" w:hAnsi="微软雅黑" w:cs="Times New Roman"/>
          <w:sz w:val="21"/>
          <w:szCs w:val="21"/>
        </w:rPr>
      </w:pPr>
      <w:bookmarkStart w:id="27" w:name="_Toc479326723"/>
      <w:r>
        <w:rPr>
          <w:rFonts w:hint="eastAsia" w:ascii="微软雅黑" w:hAnsi="微软雅黑"/>
          <w:sz w:val="21"/>
          <w:szCs w:val="21"/>
        </w:rPr>
        <w:t>本报告采用建筑</w:t>
      </w:r>
      <w:r>
        <w:rPr>
          <w:rFonts w:ascii="微软雅黑" w:hAnsi="微软雅黑"/>
          <w:sz w:val="21"/>
          <w:szCs w:val="21"/>
        </w:rPr>
        <w:t>声环境分析软件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DU是一款可用</w:t>
      </w:r>
      <w:r>
        <w:rPr>
          <w:rFonts w:ascii="微软雅黑" w:hAnsi="微软雅黑"/>
          <w:sz w:val="21"/>
          <w:szCs w:val="21"/>
        </w:rPr>
        <w:t>于</w:t>
      </w:r>
      <w:r>
        <w:rPr>
          <w:rFonts w:hint="eastAsia" w:ascii="微软雅黑" w:hAnsi="微软雅黑"/>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GB/T15190-2019</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14:paraId="39A22AFA">
      <w:pPr>
        <w:pStyle w:val="3"/>
        <w:rPr>
          <w:sz w:val="24"/>
          <w:szCs w:val="24"/>
        </w:rPr>
      </w:pPr>
      <w:bookmarkStart w:id="28" w:name="_Toc15897"/>
      <w:r>
        <w:rPr>
          <w:rFonts w:hint="eastAsia"/>
          <w:sz w:val="24"/>
          <w:szCs w:val="24"/>
        </w:rPr>
        <w:t>3.2分析</w:t>
      </w:r>
      <w:r>
        <w:rPr>
          <w:sz w:val="24"/>
          <w:szCs w:val="24"/>
        </w:rPr>
        <w:t>模</w:t>
      </w:r>
      <w:r>
        <w:rPr>
          <w:rFonts w:hint="eastAsia"/>
          <w:sz w:val="24"/>
          <w:szCs w:val="24"/>
        </w:rPr>
        <w:t>型</w:t>
      </w:r>
      <w:bookmarkEnd w:id="27"/>
      <w:bookmarkEnd w:id="28"/>
    </w:p>
    <w:p w14:paraId="1D578ADF">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14:paraId="735973EF">
      <w:pPr>
        <w:autoSpaceDE w:val="0"/>
        <w:autoSpaceDN w:val="0"/>
        <w:adjustRightInd w:val="0"/>
        <w:jc w:val="center"/>
        <w:rPr>
          <w:rFonts w:ascii="Times New Roman" w:hAnsi="Times New Roman"/>
          <w:color w:val="FF0000"/>
        </w:rPr>
      </w:pPr>
      <w:bookmarkStart w:id="29" w:name="建设项目室外声环境分析模型平面图"/>
      <w:bookmarkEnd w:id="29"/>
      <w:r>
        <w:drawing>
          <wp:inline distT="0" distB="0" distL="0" distR="0">
            <wp:extent cx="5143500" cy="8010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
                    <a:stretch>
                      <a:fillRect/>
                    </a:stretch>
                  </pic:blipFill>
                  <pic:spPr>
                    <a:xfrm>
                      <a:off x="0" y="0"/>
                      <a:ext cx="5143500" cy="80105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30" w:name="_Toc479326725"/>
      <w:bookmarkStart w:id="31" w:name="_Toc19769"/>
      <w:r>
        <w:rPr>
          <w:rFonts w:hint="eastAsia"/>
          <w:sz w:val="24"/>
          <w:szCs w:val="24"/>
        </w:rPr>
        <w:t>3.</w:t>
      </w:r>
      <w:r>
        <w:rPr>
          <w:sz w:val="24"/>
          <w:szCs w:val="24"/>
        </w:rPr>
        <w:t>3</w:t>
      </w:r>
      <w:r>
        <w:rPr>
          <w:rFonts w:hint="eastAsia"/>
          <w:sz w:val="24"/>
          <w:szCs w:val="24"/>
        </w:rPr>
        <w:t>计算条件</w:t>
      </w:r>
      <w:bookmarkEnd w:id="30"/>
      <w:bookmarkEnd w:id="31"/>
    </w:p>
    <w:p w14:paraId="0575A932">
      <w:pPr>
        <w:rPr>
          <w:b/>
        </w:rPr>
      </w:pPr>
      <w:bookmarkStart w:id="32" w:name="计算条件"/>
      <w:r>
        <w:rPr>
          <w:rFonts w:hint="eastAsia"/>
          <w:b/>
        </w:rPr>
        <w:t>■ 网格设置</w:t>
      </w:r>
    </w:p>
    <w:p w14:paraId="704E3464">
      <w:pPr>
        <w:rPr>
          <w:b/>
        </w:rPr>
      </w:pPr>
      <w:r>
        <w:rPr>
          <w:b/>
          <w:color w:val="000000"/>
        </w:rPr>
        <w:t xml:space="preserve">  平面网格间距：20×20 米</w:t>
      </w:r>
    </w:p>
    <w:p w14:paraId="5497AEF1">
      <w:pPr>
        <w:rPr>
          <w:b/>
        </w:rPr>
      </w:pPr>
      <w:r>
        <w:rPr>
          <w:b/>
          <w:color w:val="000000"/>
        </w:rPr>
        <w:t xml:space="preserve">  平面网格离地高度：1.5 米</w:t>
      </w:r>
    </w:p>
    <w:p w14:paraId="2CC49ED6">
      <w:pPr>
        <w:rPr>
          <w:b/>
        </w:rPr>
      </w:pPr>
      <w:r>
        <w:rPr>
          <w:b/>
          <w:color w:val="000000"/>
        </w:rPr>
        <w:t xml:space="preserve">  立面网格间距：3×3 米</w:t>
      </w:r>
    </w:p>
    <w:p w14:paraId="2247AEFC">
      <w:pPr>
        <w:rPr>
          <w:b/>
        </w:rPr>
      </w:pPr>
    </w:p>
    <w:p w14:paraId="425965D4">
      <w:pPr>
        <w:rPr>
          <w:b/>
        </w:rPr>
      </w:pPr>
      <w:r>
        <w:rPr>
          <w:b/>
          <w:color w:val="000000"/>
        </w:rPr>
        <w:t>■ 地面效应</w:t>
      </w:r>
    </w:p>
    <w:p w14:paraId="3DF41313">
      <w:pPr>
        <w:rPr>
          <w:b/>
        </w:rPr>
      </w:pPr>
      <w:r>
        <w:rPr>
          <w:b/>
          <w:color w:val="000000"/>
        </w:rPr>
        <w:t xml:space="preserve">  地面高度：0 米</w:t>
      </w:r>
    </w:p>
    <w:p w14:paraId="76513D6E">
      <w:pPr>
        <w:rPr>
          <w:b/>
        </w:rPr>
      </w:pPr>
      <w:r>
        <w:rPr>
          <w:b/>
          <w:color w:val="000000"/>
        </w:rPr>
        <w:t xml:space="preserve">  计算考虑地面效应</w:t>
      </w:r>
    </w:p>
    <w:p w14:paraId="64F07E43">
      <w:pPr>
        <w:rPr>
          <w:b/>
        </w:rPr>
      </w:pPr>
      <w:r>
        <w:rPr>
          <w:b/>
          <w:color w:val="000000"/>
        </w:rPr>
        <w:t xml:space="preserve">  地面效应计算方法：导则算法</w:t>
      </w:r>
    </w:p>
    <w:p w14:paraId="2FA892F8">
      <w:pPr>
        <w:rPr>
          <w:b/>
        </w:rPr>
      </w:pPr>
    </w:p>
    <w:p w14:paraId="22D538A9">
      <w:pPr>
        <w:rPr>
          <w:b/>
        </w:rPr>
      </w:pPr>
      <w:r>
        <w:rPr>
          <w:b/>
          <w:color w:val="000000"/>
        </w:rPr>
        <w:t>■ 噪声反射</w:t>
      </w:r>
    </w:p>
    <w:p w14:paraId="360BDEBF">
      <w:pPr>
        <w:rPr>
          <w:b/>
        </w:rPr>
      </w:pPr>
      <w:r>
        <w:rPr>
          <w:b/>
          <w:color w:val="000000"/>
        </w:rPr>
        <w:t xml:space="preserve">  障碍物考虑的最大反射次数：1</w:t>
      </w:r>
    </w:p>
    <w:p w14:paraId="6C387071">
      <w:pPr>
        <w:rPr>
          <w:b/>
        </w:rPr>
      </w:pPr>
    </w:p>
    <w:p w14:paraId="568B4830">
      <w:pPr>
        <w:rPr>
          <w:b/>
        </w:rPr>
      </w:pPr>
      <w:r>
        <w:rPr>
          <w:b/>
          <w:color w:val="000000"/>
        </w:rPr>
        <w:t>■ 空气吸收</w:t>
      </w:r>
    </w:p>
    <w:p w14:paraId="0C00C94A">
      <w:pPr>
        <w:rPr>
          <w:b/>
        </w:rPr>
      </w:pPr>
      <w:r>
        <w:rPr>
          <w:b/>
          <w:color w:val="000000"/>
        </w:rPr>
        <w:t xml:space="preserve">  气压：101325Pa  气温：16℃  湿度：50%</w:t>
      </w:r>
    </w:p>
    <w:p w14:paraId="3A345409">
      <w:pPr>
        <w:rPr>
          <w:b/>
        </w:rPr>
      </w:pPr>
    </w:p>
    <w:p w14:paraId="01C3F5B3">
      <w:pPr>
        <w:rPr>
          <w:b/>
        </w:rPr>
      </w:pPr>
      <w:r>
        <w:rPr>
          <w:b/>
          <w:color w:val="000000"/>
        </w:rPr>
        <w:t>■ 达标统计</w:t>
      </w:r>
    </w:p>
    <w:p w14:paraId="605BE74E">
      <w:pPr>
        <w:rPr>
          <w:b/>
        </w:rPr>
      </w:pPr>
      <w:r>
        <w:rPr>
          <w:b/>
          <w:color w:val="000000"/>
        </w:rPr>
        <w:t xml:space="preserve">  建筑物噪声最大值统计方式</w:t>
      </w:r>
    </w:p>
    <w:p w14:paraId="04CACB1C">
      <w:pPr>
        <w:rPr>
          <w:b/>
        </w:rPr>
      </w:pPr>
      <w:r>
        <w:rPr>
          <w:b/>
          <w:color w:val="000000"/>
        </w:rPr>
        <w:t xml:space="preserve">    取距离建筑物底标高1.5米沿线点</w:t>
      </w:r>
    </w:p>
    <w:p w14:paraId="205BD0AB">
      <w:pPr>
        <w:rPr>
          <w:b/>
        </w:rPr>
      </w:pPr>
      <w:r>
        <w:rPr>
          <w:b/>
          <w:color w:val="000000"/>
        </w:rPr>
        <w:t xml:space="preserve">  场地环境噪声达标统计方式</w:t>
      </w:r>
    </w:p>
    <w:p w14:paraId="0475F23F">
      <w:pPr>
        <w:rPr>
          <w:b/>
        </w:rPr>
      </w:pPr>
      <w:r>
        <w:rPr>
          <w:b/>
          <w:color w:val="000000"/>
        </w:rPr>
        <w:t xml:space="preserve">    场地内命名参评建筑物全部达标</w:t>
      </w:r>
    </w:p>
    <w:bookmarkEnd w:id="32"/>
    <w:p w14:paraId="0DE89AB0">
      <w:pPr>
        <w:pStyle w:val="3"/>
        <w:rPr>
          <w:sz w:val="24"/>
          <w:szCs w:val="24"/>
        </w:rPr>
      </w:pPr>
      <w:bookmarkStart w:id="33" w:name="_Toc479326726"/>
      <w:bookmarkStart w:id="34" w:name="_Toc15060"/>
      <w:r>
        <w:rPr>
          <w:rFonts w:hint="eastAsia"/>
          <w:sz w:val="24"/>
          <w:szCs w:val="24"/>
        </w:rPr>
        <w:t>3.</w:t>
      </w:r>
      <w:r>
        <w:rPr>
          <w:sz w:val="24"/>
          <w:szCs w:val="24"/>
        </w:rPr>
        <w:t>4</w:t>
      </w:r>
      <w:r>
        <w:rPr>
          <w:rFonts w:hint="eastAsia"/>
          <w:sz w:val="24"/>
          <w:szCs w:val="24"/>
        </w:rPr>
        <w:t>参数</w:t>
      </w:r>
      <w:r>
        <w:rPr>
          <w:sz w:val="24"/>
          <w:szCs w:val="24"/>
        </w:rPr>
        <w:t>设置</w:t>
      </w:r>
      <w:bookmarkEnd w:id="33"/>
      <w:bookmarkEnd w:id="34"/>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jc w:val="center"/>
      </w:pPr>
      <w:bookmarkStart w:id="35" w:name="声源表"/>
      <w:bookmarkEnd w:id="35"/>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93FA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DB9B9A">
            <w:pPr>
              <w:jc w:val="center"/>
              <w:rPr>
                <w:sz w:val="21"/>
                <w:szCs w:val="21"/>
              </w:rPr>
            </w:pPr>
            <w:r>
              <w:rPr>
                <w:sz w:val="21"/>
                <w:szCs w:val="21"/>
              </w:rPr>
              <w:t>路段名称</w:t>
            </w:r>
          </w:p>
        </w:tc>
        <w:tc>
          <w:tcPr>
            <w:shd w:val="clear" w:color="auto" w:fill="E6E6E6"/>
            <w:vAlign w:val="center"/>
          </w:tcPr>
          <w:p w14:paraId="43EA40E8">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2DD4048B">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61504B30">
            <w:pPr>
              <w:jc w:val="center"/>
              <w:rPr>
                <w:sz w:val="21"/>
                <w:szCs w:val="21"/>
              </w:rPr>
            </w:pPr>
            <w:r>
              <w:rPr>
                <w:sz w:val="21"/>
                <w:szCs w:val="21"/>
              </w:rPr>
              <w:t>时段</w:t>
            </w:r>
          </w:p>
        </w:tc>
        <w:tc>
          <w:tcPr>
            <w:shd w:val="clear" w:color="auto" w:fill="E6E6E6"/>
            <w:vAlign w:val="center"/>
          </w:tcPr>
          <w:p w14:paraId="1A25CD55">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6F1B7BAC">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3C2B054E">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11BF889B">
            <w:pPr>
              <w:jc w:val="center"/>
              <w:rPr>
                <w:sz w:val="21"/>
                <w:szCs w:val="21"/>
              </w:rPr>
            </w:pPr>
            <w:r>
              <w:rPr>
                <w:sz w:val="21"/>
                <w:szCs w:val="21"/>
              </w:rPr>
              <w:t>大型车</w:t>
            </w:r>
            <w:r>
              <w:rPr>
                <w:sz w:val="21"/>
                <w:szCs w:val="21"/>
              </w:rPr>
              <w:br w:type="textWrapping"/>
            </w:r>
            <w:r>
              <w:rPr>
                <w:sz w:val="21"/>
                <w:szCs w:val="21"/>
              </w:rPr>
              <w:t>辆/h</w:t>
            </w:r>
          </w:p>
        </w:tc>
      </w:tr>
      <w:tr w14:paraId="1890C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2EA032">
            <w:pPr>
              <w:jc w:val="center"/>
              <w:rPr>
                <w:sz w:val="21"/>
                <w:szCs w:val="21"/>
              </w:rPr>
            </w:pPr>
            <w:r>
              <w:rPr>
                <w:sz w:val="21"/>
                <w:szCs w:val="21"/>
              </w:rPr>
              <w:t>公路</w:t>
            </w:r>
          </w:p>
        </w:tc>
        <w:tc>
          <w:tcPr>
            <w:vMerge w:val="restart"/>
            <w:vAlign w:val="center"/>
          </w:tcPr>
          <w:p w14:paraId="457E7949">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B61671F">
            <w:pPr>
              <w:jc w:val="center"/>
              <w:rPr>
                <w:sz w:val="21"/>
                <w:szCs w:val="21"/>
              </w:rPr>
            </w:pPr>
            <w:r>
              <w:rPr>
                <w:sz w:val="21"/>
                <w:szCs w:val="21"/>
              </w:rPr>
              <w:t>2</w:t>
            </w:r>
          </w:p>
        </w:tc>
        <w:tc>
          <w:tcPr>
            <w:vAlign w:val="center"/>
          </w:tcPr>
          <w:p w14:paraId="5FCD6506">
            <w:pPr>
              <w:jc w:val="center"/>
              <w:rPr>
                <w:sz w:val="21"/>
                <w:szCs w:val="21"/>
              </w:rPr>
            </w:pPr>
            <w:r>
              <w:rPr>
                <w:sz w:val="21"/>
                <w:szCs w:val="21"/>
              </w:rPr>
              <w:t>昼间</w:t>
            </w:r>
          </w:p>
        </w:tc>
        <w:tc>
          <w:tcPr>
            <w:vAlign w:val="center"/>
          </w:tcPr>
          <w:p w14:paraId="6D41CFD1">
            <w:pPr>
              <w:jc w:val="center"/>
              <w:rPr>
                <w:sz w:val="21"/>
                <w:szCs w:val="21"/>
              </w:rPr>
            </w:pPr>
            <w:r>
              <w:rPr>
                <w:sz w:val="21"/>
                <w:szCs w:val="21"/>
              </w:rPr>
              <w:t>30</w:t>
            </w:r>
          </w:p>
        </w:tc>
        <w:tc>
          <w:tcPr>
            <w:vAlign w:val="center"/>
          </w:tcPr>
          <w:p w14:paraId="1138B056">
            <w:pPr>
              <w:jc w:val="center"/>
              <w:rPr>
                <w:sz w:val="21"/>
                <w:szCs w:val="21"/>
              </w:rPr>
            </w:pPr>
            <w:r>
              <w:rPr>
                <w:sz w:val="21"/>
                <w:szCs w:val="21"/>
              </w:rPr>
              <w:t>500</w:t>
            </w:r>
          </w:p>
        </w:tc>
        <w:tc>
          <w:tcPr>
            <w:vAlign w:val="center"/>
          </w:tcPr>
          <w:p w14:paraId="0C5A7B3D">
            <w:pPr>
              <w:jc w:val="center"/>
              <w:rPr>
                <w:sz w:val="21"/>
                <w:szCs w:val="21"/>
              </w:rPr>
            </w:pPr>
            <w:r>
              <w:rPr>
                <w:sz w:val="21"/>
                <w:szCs w:val="21"/>
              </w:rPr>
              <w:t>50</w:t>
            </w:r>
          </w:p>
        </w:tc>
        <w:tc>
          <w:tcPr>
            <w:vAlign w:val="center"/>
          </w:tcPr>
          <w:p w14:paraId="10C1AE48">
            <w:pPr>
              <w:jc w:val="center"/>
              <w:rPr>
                <w:sz w:val="21"/>
                <w:szCs w:val="21"/>
              </w:rPr>
            </w:pPr>
            <w:r>
              <w:rPr>
                <w:sz w:val="21"/>
                <w:szCs w:val="21"/>
              </w:rPr>
              <w:t>0</w:t>
            </w:r>
          </w:p>
        </w:tc>
      </w:tr>
      <w:tr w14:paraId="77733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77BFC">
            <w:pPr>
              <w:jc w:val="center"/>
              <w:rPr>
                <w:sz w:val="21"/>
                <w:szCs w:val="21"/>
              </w:rPr>
            </w:pPr>
          </w:p>
        </w:tc>
        <w:tc>
          <w:tcPr>
            <w:vMerge w:val="continue"/>
            <w:vAlign w:val="center"/>
          </w:tcPr>
          <w:p w14:paraId="650DC17F">
            <w:pPr>
              <w:jc w:val="center"/>
              <w:rPr>
                <w:sz w:val="21"/>
                <w:szCs w:val="21"/>
              </w:rPr>
            </w:pPr>
          </w:p>
        </w:tc>
        <w:tc>
          <w:tcPr>
            <w:vMerge w:val="continue"/>
            <w:vAlign w:val="center"/>
          </w:tcPr>
          <w:p w14:paraId="798843E9">
            <w:pPr>
              <w:jc w:val="center"/>
              <w:rPr>
                <w:sz w:val="21"/>
                <w:szCs w:val="21"/>
              </w:rPr>
            </w:pPr>
          </w:p>
        </w:tc>
        <w:tc>
          <w:tcPr>
            <w:vAlign w:val="center"/>
          </w:tcPr>
          <w:p w14:paraId="5948FC58">
            <w:pPr>
              <w:jc w:val="center"/>
              <w:rPr>
                <w:sz w:val="21"/>
                <w:szCs w:val="21"/>
              </w:rPr>
            </w:pPr>
            <w:r>
              <w:rPr>
                <w:sz w:val="21"/>
                <w:szCs w:val="21"/>
              </w:rPr>
              <w:t>夜间</w:t>
            </w:r>
          </w:p>
        </w:tc>
        <w:tc>
          <w:tcPr>
            <w:vAlign w:val="center"/>
          </w:tcPr>
          <w:p w14:paraId="2424F2D9">
            <w:pPr>
              <w:jc w:val="center"/>
              <w:rPr>
                <w:sz w:val="21"/>
                <w:szCs w:val="21"/>
              </w:rPr>
            </w:pPr>
            <w:r>
              <w:rPr>
                <w:sz w:val="21"/>
                <w:szCs w:val="21"/>
              </w:rPr>
              <w:t>30</w:t>
            </w:r>
          </w:p>
        </w:tc>
        <w:tc>
          <w:tcPr>
            <w:vAlign w:val="center"/>
          </w:tcPr>
          <w:p w14:paraId="74F55604">
            <w:pPr>
              <w:jc w:val="center"/>
              <w:rPr>
                <w:sz w:val="21"/>
                <w:szCs w:val="21"/>
              </w:rPr>
            </w:pPr>
            <w:r>
              <w:rPr>
                <w:sz w:val="21"/>
                <w:szCs w:val="21"/>
              </w:rPr>
              <w:t>100</w:t>
            </w:r>
          </w:p>
        </w:tc>
        <w:tc>
          <w:tcPr>
            <w:vAlign w:val="center"/>
          </w:tcPr>
          <w:p w14:paraId="1233F5CE">
            <w:pPr>
              <w:jc w:val="center"/>
              <w:rPr>
                <w:sz w:val="21"/>
                <w:szCs w:val="21"/>
              </w:rPr>
            </w:pPr>
            <w:r>
              <w:rPr>
                <w:sz w:val="21"/>
                <w:szCs w:val="21"/>
              </w:rPr>
              <w:t>20</w:t>
            </w:r>
          </w:p>
        </w:tc>
        <w:tc>
          <w:tcPr>
            <w:vAlign w:val="center"/>
          </w:tcPr>
          <w:p w14:paraId="34AE48A5">
            <w:pPr>
              <w:jc w:val="center"/>
              <w:rPr>
                <w:sz w:val="21"/>
                <w:szCs w:val="21"/>
              </w:rPr>
            </w:pPr>
            <w:r>
              <w:rPr>
                <w:sz w:val="21"/>
                <w:szCs w:val="21"/>
              </w:rPr>
              <w:t>0</w:t>
            </w:r>
          </w:p>
        </w:tc>
      </w:tr>
    </w:tbl>
    <w:p w14:paraId="49BE6FB6">
      <w:pPr>
        <w:jc w:val="center"/>
      </w:pPr>
    </w:p>
    <w:p w14:paraId="2EA9D5F2"/>
    <w:p w14:paraId="5959F7C8">
      <w:pPr>
        <w:pStyle w:val="2"/>
        <w:spacing w:line="400" w:lineRule="exact"/>
        <w:rPr>
          <w:rFonts w:ascii="Times New Roman" w:hAnsi="Times New Roman"/>
          <w:sz w:val="28"/>
          <w:szCs w:val="28"/>
        </w:rPr>
      </w:pPr>
      <w:bookmarkStart w:id="36" w:name="_Toc479326727"/>
      <w:bookmarkStart w:id="37" w:name="_Toc9027"/>
      <w:r>
        <w:rPr>
          <w:rFonts w:hint="eastAsia" w:ascii="Times New Roman" w:hAnsi="Times New Roman"/>
          <w:sz w:val="28"/>
          <w:szCs w:val="28"/>
        </w:rPr>
        <w:t>4.模拟结果</w:t>
      </w:r>
      <w:r>
        <w:rPr>
          <w:rFonts w:ascii="Times New Roman" w:hAnsi="Times New Roman"/>
          <w:sz w:val="28"/>
          <w:szCs w:val="28"/>
        </w:rPr>
        <w:t>及分析</w:t>
      </w:r>
      <w:bookmarkEnd w:id="36"/>
      <w:bookmarkEnd w:id="37"/>
      <w:r>
        <w:rPr>
          <w:rFonts w:hint="eastAsia" w:ascii="Times New Roman" w:hAnsi="Times New Roman"/>
          <w:sz w:val="28"/>
          <w:szCs w:val="28"/>
        </w:rPr>
        <w:t xml:space="preserve"> </w:t>
      </w:r>
    </w:p>
    <w:p w14:paraId="6B838699">
      <w:pPr>
        <w:ind w:firstLine="420" w:firstLineChars="200"/>
      </w:pPr>
      <w:bookmarkStart w:id="38"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9" w:name="_Toc4006"/>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8"/>
      <w:bookmarkEnd w:id="39"/>
    </w:p>
    <w:p w14:paraId="31562F74">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28CE7509"/>
    <w:p w14:paraId="1A90242C">
      <w:pPr>
        <w:jc w:val="center"/>
        <w:rPr>
          <w:rFonts w:ascii="Times New Roman" w:hAnsi="Times New Roman"/>
        </w:rPr>
      </w:pPr>
      <w:bookmarkStart w:id="40" w:name="场地分布图昼"/>
      <w:bookmarkEnd w:id="40"/>
      <w:r>
        <w:drawing>
          <wp:inline distT="0" distB="0" distL="0" distR="0">
            <wp:extent cx="5667375" cy="4962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8"/>
        </w:rPr>
      </w:pPr>
      <w:r>
        <w:rPr>
          <w:rFonts w:hint="eastAsia"/>
          <w:kern w:val="0"/>
          <w:sz w:val="18"/>
          <w:szCs w:val="18"/>
        </w:rPr>
        <w:t>图4.1</w:t>
      </w:r>
      <w:r>
        <w:rPr>
          <w:kern w:val="0"/>
          <w:sz w:val="18"/>
          <w:szCs w:val="18"/>
        </w:rPr>
        <w:t>-1</w:t>
      </w:r>
      <w:r>
        <w:rPr>
          <w:rFonts w:hint="eastAsia"/>
          <w:kern w:val="0"/>
          <w:sz w:val="18"/>
          <w:szCs w:val="18"/>
        </w:rPr>
        <w:t xml:space="preserve"> 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昼间</w:t>
      </w:r>
      <w:r>
        <w:rPr>
          <w:kern w:val="0"/>
          <w:sz w:val="18"/>
          <w:szCs w:val="18"/>
        </w:rPr>
        <w:t>）</w:t>
      </w:r>
    </w:p>
    <w:p w14:paraId="6F39CC97">
      <w:pPr>
        <w:jc w:val="center"/>
        <w:rPr>
          <w:rFonts w:ascii="Times New Roman" w:hAnsi="Times New Roman"/>
        </w:rPr>
      </w:pPr>
      <w:bookmarkStart w:id="41" w:name="场地分布图夜"/>
      <w:bookmarkEnd w:id="41"/>
      <w:r>
        <w:drawing>
          <wp:inline distT="0" distB="0" distL="0" distR="0">
            <wp:extent cx="5667375" cy="4962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8"/>
        </w:rPr>
      </w:pPr>
      <w:r>
        <w:rPr>
          <w:rFonts w:hint="eastAsia"/>
          <w:kern w:val="0"/>
          <w:sz w:val="18"/>
          <w:szCs w:val="18"/>
        </w:rPr>
        <w:t>图4.1</w:t>
      </w:r>
      <w:r>
        <w:rPr>
          <w:kern w:val="0"/>
          <w:sz w:val="18"/>
          <w:szCs w:val="18"/>
        </w:rPr>
        <w:t xml:space="preserve">-2 </w:t>
      </w:r>
      <w:r>
        <w:rPr>
          <w:rFonts w:hint="eastAsia"/>
          <w:kern w:val="0"/>
          <w:sz w:val="18"/>
          <w:szCs w:val="18"/>
        </w:rPr>
        <w:t>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夜间</w:t>
      </w:r>
      <w:r>
        <w:rPr>
          <w:kern w:val="0"/>
          <w:sz w:val="18"/>
          <w:szCs w:val="18"/>
        </w:rPr>
        <w:t>）</w:t>
      </w:r>
    </w:p>
    <w:p w14:paraId="720F5AC9">
      <w:pPr>
        <w:jc w:val="center"/>
        <w:rPr>
          <w:rFonts w:ascii="Times New Roman" w:hAnsi="Times New Roman"/>
        </w:rPr>
      </w:pPr>
      <w:bookmarkStart w:id="42" w:name="场地噪声分布俯瞰昼"/>
      <w:bookmarkEnd w:id="42"/>
      <w:r>
        <w:drawing>
          <wp:inline distT="0" distB="0" distL="0" distR="0">
            <wp:extent cx="5667375" cy="4962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8"/>
        </w:rPr>
      </w:pPr>
      <w:r>
        <w:rPr>
          <w:rFonts w:hint="eastAsia"/>
          <w:kern w:val="0"/>
          <w:sz w:val="18"/>
          <w:szCs w:val="18"/>
        </w:rPr>
        <w:t>图4.1</w:t>
      </w:r>
      <w:r>
        <w:rPr>
          <w:kern w:val="0"/>
          <w:sz w:val="18"/>
          <w:szCs w:val="18"/>
        </w:rPr>
        <w:t>-3</w:t>
      </w:r>
      <w:r>
        <w:rPr>
          <w:rFonts w:hint="eastAsia"/>
          <w:kern w:val="0"/>
          <w:sz w:val="18"/>
          <w:szCs w:val="18"/>
        </w:rPr>
        <w:t xml:space="preserve">  场地噪声分布俯瞰图（昼间）</w:t>
      </w:r>
    </w:p>
    <w:p w14:paraId="657B1BD6">
      <w:pPr>
        <w:widowControl/>
        <w:jc w:val="center"/>
        <w:rPr>
          <w:rFonts w:ascii="宋体" w:hAnsi="宋体"/>
          <w:szCs w:val="21"/>
        </w:rPr>
      </w:pPr>
      <w:bookmarkStart w:id="43" w:name="场地噪声分布俯瞰夜"/>
      <w:bookmarkEnd w:id="43"/>
      <w:r>
        <w:drawing>
          <wp:inline distT="0" distB="0" distL="0" distR="0">
            <wp:extent cx="5667375" cy="4962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8"/>
        </w:rPr>
      </w:pPr>
      <w:r>
        <w:rPr>
          <w:rFonts w:hint="eastAsia"/>
          <w:kern w:val="0"/>
          <w:sz w:val="18"/>
          <w:szCs w:val="18"/>
        </w:rPr>
        <w:t>图4.1</w:t>
      </w:r>
      <w:r>
        <w:rPr>
          <w:kern w:val="0"/>
          <w:sz w:val="18"/>
          <w:szCs w:val="18"/>
        </w:rPr>
        <w:t xml:space="preserve">-4  </w:t>
      </w:r>
      <w:r>
        <w:rPr>
          <w:rFonts w:hint="eastAsia"/>
          <w:kern w:val="0"/>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4" w:name="_Toc479326729"/>
      <w:bookmarkStart w:id="45" w:name="_Toc2793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4"/>
      <w:r>
        <w:rPr>
          <w:rFonts w:hint="eastAsia"/>
          <w:sz w:val="24"/>
          <w:szCs w:val="24"/>
        </w:rPr>
        <w:t>情况</w:t>
      </w:r>
      <w:bookmarkEnd w:id="45"/>
    </w:p>
    <w:p w14:paraId="497186E8">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hint="eastAsia" w:ascii="Times New Roman" w:hAnsi="Times New Roman" w:cs="宋体"/>
          <w:szCs w:val="21"/>
        </w:rPr>
        <w:t>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hint="eastAsia" w:ascii="Times New Roman" w:hAnsi="Times New Roman" w:cs="宋体"/>
          <w:szCs w:val="21"/>
        </w:rPr>
      </w:pPr>
      <w:r>
        <w:rPr>
          <w:rFonts w:hint="eastAsia" w:ascii="Times New Roman" w:hAnsi="Times New Roman" w:cs="宋体"/>
          <w:szCs w:val="21"/>
        </w:rPr>
        <w:t>本项目室外昼间和夜间噪声分析及达标情况如下：</w:t>
      </w:r>
    </w:p>
    <w:p w14:paraId="753CD4A2">
      <w:pPr>
        <w:spacing w:line="276" w:lineRule="auto"/>
        <w:ind w:firstLine="420"/>
        <w:rPr>
          <w:rFonts w:hint="eastAsia" w:ascii="Times New Roman" w:hAnsi="Times New Roman" w:cs="宋体"/>
          <w:szCs w:val="21"/>
        </w:rPr>
      </w:pPr>
      <w:r>
        <w:drawing>
          <wp:inline distT="0" distB="0" distL="114300" distR="114300">
            <wp:extent cx="5272405" cy="4707890"/>
            <wp:effectExtent l="0" t="0" r="1079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2405" cy="4707890"/>
                    </a:xfrm>
                    <a:prstGeom prst="rect">
                      <a:avLst/>
                    </a:prstGeom>
                    <a:noFill/>
                    <a:ln>
                      <a:noFill/>
                    </a:ln>
                  </pic:spPr>
                </pic:pic>
              </a:graphicData>
            </a:graphic>
          </wp:inline>
        </w:drawing>
      </w:r>
    </w:p>
    <w:p w14:paraId="018BC24F">
      <w:pPr>
        <w:jc w:val="center"/>
        <w:rPr>
          <w:rFonts w:ascii="Times New Roman" w:hAnsi="Times New Roman"/>
        </w:rPr>
      </w:pPr>
      <w:bookmarkStart w:id="46" w:name="建筑附近声压分布图昼"/>
      <w:bookmarkEnd w:id="46"/>
    </w:p>
    <w:p w14:paraId="69AA140F">
      <w:pPr>
        <w:widowControl/>
        <w:jc w:val="center"/>
        <w:rPr>
          <w:kern w:val="0"/>
          <w:sz w:val="18"/>
          <w:szCs w:val="18"/>
        </w:rPr>
      </w:pPr>
      <w:r>
        <w:rPr>
          <w:rFonts w:hint="eastAsia"/>
          <w:kern w:val="0"/>
          <w:sz w:val="18"/>
          <w:szCs w:val="18"/>
        </w:rPr>
        <w:t>图4.</w:t>
      </w:r>
      <w:r>
        <w:rPr>
          <w:kern w:val="0"/>
          <w:sz w:val="18"/>
          <w:szCs w:val="18"/>
        </w:rPr>
        <w:t>2-1</w:t>
      </w:r>
      <w:r>
        <w:rPr>
          <w:rFonts w:hint="eastAsia"/>
          <w:kern w:val="0"/>
          <w:sz w:val="18"/>
          <w:szCs w:val="18"/>
        </w:rPr>
        <w:t xml:space="preserve"> 参评建筑附近区域</w:t>
      </w:r>
      <w:r>
        <w:rPr>
          <w:kern w:val="0"/>
          <w:sz w:val="18"/>
          <w:szCs w:val="18"/>
        </w:rPr>
        <w:t>1.5m</w:t>
      </w:r>
      <w:r>
        <w:rPr>
          <w:rFonts w:hint="eastAsia"/>
          <w:kern w:val="0"/>
          <w:sz w:val="18"/>
          <w:szCs w:val="18"/>
        </w:rPr>
        <w:t>高度处声压级平面分布图（昼间）</w:t>
      </w:r>
    </w:p>
    <w:p w14:paraId="3CD0689B">
      <w:pPr>
        <w:jc w:val="center"/>
        <w:rPr>
          <w:rFonts w:ascii="Times New Roman" w:hAnsi="Times New Roman"/>
        </w:rPr>
      </w:pPr>
      <w:bookmarkStart w:id="47" w:name="建筑附近声压分布图夜"/>
      <w:bookmarkEnd w:id="47"/>
    </w:p>
    <w:p w14:paraId="28FE5E9E">
      <w:pPr>
        <w:widowControl/>
        <w:jc w:val="center"/>
        <w:rPr>
          <w:rFonts w:hint="eastAsia"/>
          <w:kern w:val="0"/>
          <w:sz w:val="18"/>
          <w:szCs w:val="18"/>
        </w:rPr>
      </w:pPr>
      <w:r>
        <w:drawing>
          <wp:inline distT="0" distB="0" distL="114300" distR="114300">
            <wp:extent cx="5273675" cy="4961255"/>
            <wp:effectExtent l="0" t="0" r="952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73675" cy="4961255"/>
                    </a:xfrm>
                    <a:prstGeom prst="rect">
                      <a:avLst/>
                    </a:prstGeom>
                    <a:noFill/>
                    <a:ln>
                      <a:noFill/>
                    </a:ln>
                  </pic:spPr>
                </pic:pic>
              </a:graphicData>
            </a:graphic>
          </wp:inline>
        </w:drawing>
      </w:r>
      <w:bookmarkStart w:id="62" w:name="_GoBack"/>
      <w:bookmarkEnd w:id="62"/>
    </w:p>
    <w:p w14:paraId="2249C97E">
      <w:pPr>
        <w:widowControl/>
        <w:jc w:val="center"/>
        <w:rPr>
          <w:kern w:val="0"/>
          <w:sz w:val="18"/>
          <w:szCs w:val="18"/>
        </w:rPr>
      </w:pPr>
      <w:r>
        <w:rPr>
          <w:rFonts w:hint="eastAsia"/>
          <w:kern w:val="0"/>
          <w:sz w:val="18"/>
          <w:szCs w:val="18"/>
        </w:rPr>
        <w:t>图4.</w:t>
      </w:r>
      <w:r>
        <w:rPr>
          <w:kern w:val="0"/>
          <w:sz w:val="18"/>
          <w:szCs w:val="18"/>
        </w:rPr>
        <w:t>2-2</w:t>
      </w:r>
      <w:r>
        <w:rPr>
          <w:rFonts w:hint="eastAsia"/>
          <w:kern w:val="0"/>
          <w:sz w:val="18"/>
          <w:szCs w:val="18"/>
        </w:rPr>
        <w:t xml:space="preserve"> 参评建筑附近区域</w:t>
      </w:r>
      <w:r>
        <w:rPr>
          <w:kern w:val="0"/>
          <w:sz w:val="18"/>
          <w:szCs w:val="18"/>
        </w:rPr>
        <w:t>1.5m</w:t>
      </w:r>
      <w:r>
        <w:rPr>
          <w:rFonts w:hint="eastAsia"/>
          <w:kern w:val="0"/>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szCs w:val="21"/>
        </w:rPr>
      </w:pPr>
      <w:bookmarkStart w:id="48" w:name="建筑附近声压分布鸟瞰图昼"/>
      <w:r>
        <w:drawing>
          <wp:inline distT="0" distB="0" distL="0" distR="0">
            <wp:extent cx="5667375" cy="2476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7"/>
                    <a:stretch>
                      <a:fillRect/>
                    </a:stretch>
                  </pic:blipFill>
                  <pic:spPr>
                    <a:xfrm>
                      <a:off x="0" y="0"/>
                      <a:ext cx="5667375" cy="2476500"/>
                    </a:xfrm>
                    <a:prstGeom prst="rect">
                      <a:avLst/>
                    </a:prstGeom>
                  </pic:spPr>
                </pic:pic>
              </a:graphicData>
            </a:graphic>
          </wp:inline>
        </w:drawing>
      </w:r>
    </w:p>
    <w:bookmarkEnd w:id="48"/>
    <w:p w14:paraId="0B82D8D8">
      <w:pPr>
        <w:widowControl/>
        <w:jc w:val="center"/>
        <w:rPr>
          <w:rFonts w:ascii="宋体" w:hAnsi="宋体"/>
          <w:szCs w:val="21"/>
        </w:rPr>
      </w:pPr>
    </w:p>
    <w:p w14:paraId="35C5987B">
      <w:pPr>
        <w:widowControl/>
        <w:tabs>
          <w:tab w:val="center" w:pos="4153"/>
          <w:tab w:val="right" w:pos="8306"/>
        </w:tabs>
        <w:rPr>
          <w:kern w:val="0"/>
          <w:sz w:val="18"/>
          <w:szCs w:val="18"/>
        </w:rPr>
      </w:pPr>
      <w:r>
        <w:rPr>
          <w:kern w:val="0"/>
          <w:sz w:val="18"/>
          <w:szCs w:val="18"/>
        </w:rPr>
        <w:tab/>
      </w:r>
      <w:r>
        <w:rPr>
          <w:rFonts w:hint="eastAsia"/>
          <w:kern w:val="0"/>
          <w:sz w:val="18"/>
          <w:szCs w:val="18"/>
        </w:rPr>
        <w:t>图4.</w:t>
      </w:r>
      <w:r>
        <w:rPr>
          <w:kern w:val="0"/>
          <w:sz w:val="18"/>
          <w:szCs w:val="18"/>
        </w:rPr>
        <w:t>2-3</w:t>
      </w:r>
      <w:r>
        <w:rPr>
          <w:rFonts w:hint="eastAsia"/>
          <w:kern w:val="0"/>
          <w:sz w:val="18"/>
          <w:szCs w:val="18"/>
        </w:rPr>
        <w:t xml:space="preserve"> 参评建筑附近区域声压级鸟瞰分布图（昼间）</w:t>
      </w:r>
      <w:r>
        <w:rPr>
          <w:kern w:val="0"/>
          <w:sz w:val="18"/>
          <w:szCs w:val="18"/>
        </w:rPr>
        <w:tab/>
      </w:r>
    </w:p>
    <w:p w14:paraId="7877817E">
      <w:pPr>
        <w:widowControl/>
        <w:jc w:val="center"/>
        <w:rPr>
          <w:rFonts w:ascii="宋体" w:hAnsi="宋体"/>
          <w:szCs w:val="21"/>
        </w:rPr>
      </w:pPr>
    </w:p>
    <w:p w14:paraId="1BAFC4AC">
      <w:pPr>
        <w:widowControl/>
        <w:jc w:val="center"/>
        <w:rPr>
          <w:rFonts w:ascii="宋体" w:hAnsi="宋体"/>
          <w:szCs w:val="21"/>
        </w:rPr>
      </w:pPr>
      <w:bookmarkStart w:id="49" w:name="建筑附近声压分布鸟瞰图夜"/>
      <w:bookmarkEnd w:id="49"/>
      <w:r>
        <w:drawing>
          <wp:inline distT="0" distB="0" distL="0" distR="0">
            <wp:extent cx="5667375" cy="24765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8"/>
                    <a:stretch>
                      <a:fillRect/>
                    </a:stretch>
                  </pic:blipFill>
                  <pic:spPr>
                    <a:xfrm>
                      <a:off x="0" y="0"/>
                      <a:ext cx="5667375" cy="2476500"/>
                    </a:xfrm>
                    <a:prstGeom prst="rect">
                      <a:avLst/>
                    </a:prstGeom>
                  </pic:spPr>
                </pic:pic>
              </a:graphicData>
            </a:graphic>
          </wp:inline>
        </w:drawing>
      </w:r>
    </w:p>
    <w:p w14:paraId="4118C4BD">
      <w:pPr>
        <w:widowControl/>
        <w:jc w:val="center"/>
        <w:rPr>
          <w:kern w:val="0"/>
          <w:sz w:val="18"/>
          <w:szCs w:val="18"/>
        </w:rPr>
      </w:pPr>
      <w:r>
        <w:rPr>
          <w:rFonts w:hint="eastAsia"/>
          <w:kern w:val="0"/>
          <w:sz w:val="18"/>
          <w:szCs w:val="18"/>
        </w:rPr>
        <w:t>图4.</w:t>
      </w:r>
      <w:r>
        <w:rPr>
          <w:kern w:val="0"/>
          <w:sz w:val="18"/>
          <w:szCs w:val="18"/>
        </w:rPr>
        <w:t>2-4</w:t>
      </w:r>
      <w:r>
        <w:rPr>
          <w:rFonts w:hint="eastAsia"/>
          <w:kern w:val="0"/>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表4</w:t>
      </w:r>
      <w:r>
        <w:rPr>
          <w:kern w:val="0"/>
          <w:sz w:val="18"/>
          <w:szCs w:val="18"/>
        </w:rPr>
        <w:t xml:space="preserve">.2 </w:t>
      </w:r>
      <w:r>
        <w:rPr>
          <w:rFonts w:hint="eastAsia"/>
          <w:kern w:val="0"/>
          <w:sz w:val="18"/>
          <w:szCs w:val="18"/>
        </w:rPr>
        <w:t xml:space="preserve">参评建筑达标统计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E6FC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54413A">
            <w:pPr>
              <w:jc w:val="center"/>
              <w:rPr>
                <w:sz w:val="21"/>
                <w:szCs w:val="21"/>
              </w:rPr>
            </w:pPr>
            <w:r>
              <w:rPr>
                <w:sz w:val="21"/>
                <w:szCs w:val="21"/>
              </w:rPr>
              <w:t>建筑名称</w:t>
            </w:r>
          </w:p>
        </w:tc>
        <w:tc>
          <w:tcPr>
            <w:shd w:val="clear" w:color="auto" w:fill="E6E6E6"/>
            <w:vAlign w:val="center"/>
          </w:tcPr>
          <w:p w14:paraId="7A10EC3E">
            <w:pPr>
              <w:jc w:val="center"/>
              <w:rPr>
                <w:sz w:val="21"/>
                <w:szCs w:val="21"/>
              </w:rPr>
            </w:pPr>
            <w:r>
              <w:rPr>
                <w:sz w:val="21"/>
                <w:szCs w:val="21"/>
              </w:rPr>
              <w:t>时段</w:t>
            </w:r>
          </w:p>
        </w:tc>
        <w:tc>
          <w:tcPr>
            <w:shd w:val="clear" w:color="auto" w:fill="E6E6E6"/>
            <w:vAlign w:val="center"/>
          </w:tcPr>
          <w:p w14:paraId="4FAFC43D">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36CDC7E7">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AC87005">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A649E90">
            <w:pPr>
              <w:jc w:val="center"/>
              <w:rPr>
                <w:sz w:val="21"/>
                <w:szCs w:val="21"/>
              </w:rPr>
            </w:pPr>
            <w:r>
              <w:rPr>
                <w:sz w:val="21"/>
                <w:szCs w:val="21"/>
              </w:rPr>
              <w:t>得分</w:t>
            </w:r>
            <w:r>
              <w:rPr>
                <w:sz w:val="21"/>
                <w:szCs w:val="21"/>
              </w:rPr>
              <w:br w:type="textWrapping"/>
            </w:r>
            <w:r>
              <w:rPr>
                <w:sz w:val="21"/>
                <w:szCs w:val="21"/>
              </w:rPr>
              <w:t>情况</w:t>
            </w:r>
          </w:p>
        </w:tc>
      </w:tr>
      <w:tr w14:paraId="2665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DD71E4">
            <w:pPr>
              <w:jc w:val="center"/>
              <w:rPr>
                <w:sz w:val="21"/>
                <w:szCs w:val="21"/>
              </w:rPr>
            </w:pPr>
            <w:r>
              <w:rPr>
                <w:sz w:val="21"/>
                <w:szCs w:val="21"/>
              </w:rPr>
              <w:t>DT</w:t>
            </w:r>
          </w:p>
        </w:tc>
        <w:tc>
          <w:tcPr>
            <w:vAlign w:val="center"/>
          </w:tcPr>
          <w:p w14:paraId="136BE7D0">
            <w:pPr>
              <w:jc w:val="center"/>
              <w:rPr>
                <w:sz w:val="21"/>
                <w:szCs w:val="21"/>
              </w:rPr>
            </w:pPr>
            <w:r>
              <w:rPr>
                <w:sz w:val="21"/>
                <w:szCs w:val="21"/>
              </w:rPr>
              <w:t>昼间</w:t>
            </w:r>
          </w:p>
        </w:tc>
        <w:tc>
          <w:tcPr>
            <w:vAlign w:val="center"/>
          </w:tcPr>
          <w:p w14:paraId="779BDEEC">
            <w:pPr>
              <w:jc w:val="center"/>
              <w:rPr>
                <w:sz w:val="21"/>
                <w:szCs w:val="21"/>
              </w:rPr>
            </w:pPr>
            <w:r>
              <w:rPr>
                <w:sz w:val="21"/>
                <w:szCs w:val="21"/>
              </w:rPr>
              <w:t>53</w:t>
            </w:r>
          </w:p>
        </w:tc>
        <w:tc>
          <w:tcPr>
            <w:vAlign w:val="center"/>
          </w:tcPr>
          <w:p w14:paraId="5FB96225">
            <w:pPr>
              <w:jc w:val="center"/>
              <w:rPr>
                <w:sz w:val="21"/>
                <w:szCs w:val="21"/>
              </w:rPr>
            </w:pPr>
            <w:r>
              <w:rPr>
                <w:sz w:val="21"/>
                <w:szCs w:val="21"/>
              </w:rPr>
              <w:t>60</w:t>
            </w:r>
          </w:p>
        </w:tc>
        <w:tc>
          <w:tcPr>
            <w:vAlign w:val="center"/>
          </w:tcPr>
          <w:p w14:paraId="25676081">
            <w:pPr>
              <w:jc w:val="center"/>
              <w:rPr>
                <w:sz w:val="21"/>
                <w:szCs w:val="21"/>
              </w:rPr>
            </w:pPr>
            <w:r>
              <w:rPr>
                <w:sz w:val="21"/>
                <w:szCs w:val="21"/>
              </w:rPr>
              <w:t>65</w:t>
            </w:r>
          </w:p>
        </w:tc>
        <w:tc>
          <w:tcPr>
            <w:vMerge w:val="restart"/>
            <w:vAlign w:val="center"/>
          </w:tcPr>
          <w:p w14:paraId="7EF872C6">
            <w:pPr>
              <w:jc w:val="center"/>
              <w:rPr>
                <w:sz w:val="21"/>
                <w:szCs w:val="21"/>
              </w:rPr>
            </w:pPr>
            <w:r>
              <w:rPr>
                <w:sz w:val="21"/>
                <w:szCs w:val="21"/>
              </w:rPr>
              <w:t>10</w:t>
            </w:r>
          </w:p>
        </w:tc>
      </w:tr>
      <w:tr w14:paraId="63B11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E7EC9">
            <w:pPr>
              <w:jc w:val="center"/>
              <w:rPr>
                <w:sz w:val="21"/>
                <w:szCs w:val="21"/>
              </w:rPr>
            </w:pPr>
          </w:p>
        </w:tc>
        <w:tc>
          <w:tcPr>
            <w:vAlign w:val="center"/>
          </w:tcPr>
          <w:p w14:paraId="3C1C3CE0">
            <w:pPr>
              <w:jc w:val="center"/>
              <w:rPr>
                <w:sz w:val="21"/>
                <w:szCs w:val="21"/>
              </w:rPr>
            </w:pPr>
            <w:r>
              <w:rPr>
                <w:sz w:val="21"/>
                <w:szCs w:val="21"/>
              </w:rPr>
              <w:t>夜间</w:t>
            </w:r>
          </w:p>
        </w:tc>
        <w:tc>
          <w:tcPr>
            <w:vAlign w:val="center"/>
          </w:tcPr>
          <w:p w14:paraId="45AFCFB2">
            <w:pPr>
              <w:jc w:val="center"/>
              <w:rPr>
                <w:sz w:val="21"/>
                <w:szCs w:val="21"/>
              </w:rPr>
            </w:pPr>
            <w:r>
              <w:rPr>
                <w:sz w:val="21"/>
                <w:szCs w:val="21"/>
              </w:rPr>
              <w:t>47</w:t>
            </w:r>
          </w:p>
        </w:tc>
        <w:tc>
          <w:tcPr>
            <w:vAlign w:val="center"/>
          </w:tcPr>
          <w:p w14:paraId="45C8FD3E">
            <w:pPr>
              <w:jc w:val="center"/>
              <w:rPr>
                <w:sz w:val="21"/>
                <w:szCs w:val="21"/>
              </w:rPr>
            </w:pPr>
            <w:r>
              <w:rPr>
                <w:sz w:val="21"/>
                <w:szCs w:val="21"/>
              </w:rPr>
              <w:t>50</w:t>
            </w:r>
          </w:p>
        </w:tc>
        <w:tc>
          <w:tcPr>
            <w:vAlign w:val="center"/>
          </w:tcPr>
          <w:p w14:paraId="6748700B">
            <w:pPr>
              <w:jc w:val="center"/>
              <w:rPr>
                <w:sz w:val="21"/>
                <w:szCs w:val="21"/>
              </w:rPr>
            </w:pPr>
            <w:r>
              <w:rPr>
                <w:sz w:val="21"/>
                <w:szCs w:val="21"/>
              </w:rPr>
              <w:t>55</w:t>
            </w:r>
          </w:p>
        </w:tc>
        <w:tc>
          <w:tcPr>
            <w:vMerge w:val="continue"/>
            <w:vAlign w:val="center"/>
          </w:tcPr>
          <w:p w14:paraId="1DE036F8">
            <w:pPr>
              <w:jc w:val="center"/>
              <w:rPr>
                <w:sz w:val="21"/>
                <w:szCs w:val="21"/>
              </w:rPr>
            </w:pPr>
          </w:p>
        </w:tc>
      </w:tr>
    </w:tbl>
    <w:p w14:paraId="2952646E">
      <w:pPr>
        <w:widowControl/>
        <w:jc w:val="center"/>
        <w:rPr>
          <w:rFonts w:ascii="Times New Roman" w:hAnsi="Times New Roman"/>
          <w:szCs w:val="21"/>
        </w:rPr>
      </w:pPr>
      <w:bookmarkStart w:id="50" w:name="建筑物噪声最大值统计表格"/>
      <w:bookmarkEnd w:id="50"/>
    </w:p>
    <w:p w14:paraId="58E38C94">
      <w:pPr>
        <w:pStyle w:val="2"/>
        <w:rPr>
          <w:rFonts w:ascii="Times New Roman" w:hAnsi="Times New Roman"/>
          <w:sz w:val="28"/>
          <w:szCs w:val="28"/>
        </w:rPr>
      </w:pPr>
      <w:bookmarkStart w:id="51" w:name="_Toc479326730"/>
      <w:bookmarkStart w:id="52" w:name="_Toc29143"/>
      <w:r>
        <w:rPr>
          <w:rFonts w:hint="eastAsia" w:ascii="Times New Roman" w:hAnsi="Times New Roman"/>
          <w:sz w:val="28"/>
          <w:szCs w:val="28"/>
        </w:rPr>
        <w:t>5.结论</w:t>
      </w:r>
      <w:bookmarkEnd w:id="51"/>
      <w:bookmarkEnd w:id="52"/>
    </w:p>
    <w:p w14:paraId="164F02C5">
      <w:pPr>
        <w:ind w:firstLine="420" w:firstLineChars="200"/>
        <w:rPr>
          <w:rFonts w:ascii="Times New Roman" w:hAnsi="Times New Roman"/>
          <w:szCs w:val="21"/>
        </w:rPr>
      </w:pPr>
      <w:bookmarkStart w:id="53" w:name="标准名称4"/>
      <w:r>
        <w:rPr>
          <w:rFonts w:hint="eastAsia"/>
        </w:rPr>
        <w:t>河南省《绿色建筑评价标准》DBJ41/T 109—2020</w:t>
      </w:r>
      <w:bookmarkEnd w:id="53"/>
      <w:r>
        <w:rPr>
          <w:rFonts w:hint="eastAsia" w:ascii="Times New Roman" w:hAnsi="Times New Roman"/>
          <w:szCs w:val="21"/>
        </w:rPr>
        <w:t>要求:</w:t>
      </w:r>
    </w:p>
    <w:p w14:paraId="590900DF">
      <w:bookmarkStart w:id="54" w:name="室外条文内容1"/>
      <w:bookmarkEnd w:id="54"/>
      <w:r>
        <w:rPr>
          <w:rFonts w:hint="eastAsia"/>
        </w:rPr>
        <w:t xml:space="preserve"> </w:t>
      </w:r>
      <w:r>
        <w:t xml:space="preserve"> </w:t>
      </w:r>
      <w:r>
        <w:rPr>
          <w:rFonts w:hint="eastAsia"/>
        </w:rPr>
        <w:t xml:space="preserve"> </w:t>
      </w:r>
      <w:r>
        <w:t>8.2.6 场地内的环境噪声优于现行国家标准《声环境质量标准》GB 3096 的要求，评价总分值为10分，并按下列规则评分：</w:t>
      </w:r>
    </w:p>
    <w:p w14:paraId="058EDA3E">
      <w:r>
        <w:t xml:space="preserve">  1 环境噪声值大于2类声环境功能区标准限值，且小于等于3类声环境功能区标准限值，得5分；</w:t>
      </w:r>
    </w:p>
    <w:p w14:paraId="6BD8CD85">
      <w:r>
        <w:t xml:space="preserve">  2 环境噪声值小于等于2类声环境功能区标准限值，得10分。</w:t>
      </w:r>
    </w:p>
    <w:p w14:paraId="2C94E195">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
              </w:rPr>
            </w:pPr>
            <w:bookmarkStart w:id="55" w:name="昼间噪声最大值"/>
            <w:r>
              <w:rPr>
                <w:b/>
              </w:rPr>
              <w:t>53</w:t>
            </w:r>
            <w:bookmarkEnd w:id="55"/>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6" w:name="得分情况"/>
            <w:r>
              <w:rPr>
                <w:b/>
                <w:bCs/>
              </w:rPr>
              <w:t>10</w:t>
            </w:r>
            <w:bookmarkEnd w:id="56"/>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
              </w:rPr>
            </w:pPr>
            <w:bookmarkStart w:id="57" w:name="夜间噪声最大值"/>
            <w:r>
              <w:rPr>
                <w:b/>
              </w:rPr>
              <w:t>47</w:t>
            </w:r>
            <w:bookmarkEnd w:id="57"/>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D0E45F2">
      <w:pPr>
        <w:spacing w:line="276" w:lineRule="auto"/>
        <w:ind w:firstLine="420" w:firstLineChars="200"/>
        <w:rPr>
          <w:rFonts w:ascii="Times New Roman" w:hAnsi="Times New Roman"/>
          <w:szCs w:val="21"/>
        </w:rPr>
      </w:pPr>
    </w:p>
    <w:p w14:paraId="5B128CAC">
      <w:pPr>
        <w:ind w:firstLine="210" w:firstLineChars="100"/>
      </w:pPr>
      <w:r>
        <w:rPr>
          <w:rFonts w:hint="eastAsia" w:ascii="宋体" w:hAnsi="Calibri"/>
        </w:rPr>
        <w:t>综上所述，经过软件模拟和结果统计分析，最终判定本项目</w:t>
      </w:r>
      <w:bookmarkStart w:id="58" w:name="满足结论"/>
      <w:r>
        <w:rPr>
          <w:rFonts w:hint="eastAsia"/>
          <w:b/>
        </w:rPr>
        <w:t>满足</w:t>
      </w:r>
      <w:bookmarkEnd w:id="58"/>
      <w:r>
        <w:rPr>
          <w:rFonts w:hint="eastAsia"/>
          <w:b/>
        </w:rPr>
        <w:t xml:space="preserve"> </w:t>
      </w:r>
      <w:bookmarkStart w:id="59" w:name="标准名称3"/>
      <w:r>
        <w:rPr>
          <w:rFonts w:hint="eastAsia"/>
        </w:rPr>
        <w:t>河南省《绿色建筑评价标准》DBJ41/T 109—2020</w:t>
      </w:r>
      <w:bookmarkEnd w:id="59"/>
      <w:r>
        <w:rPr>
          <w:rFonts w:hint="eastAsia"/>
        </w:rPr>
        <w:t>地方标准</w:t>
      </w:r>
      <w:bookmarkStart w:id="60" w:name="室外条文编号"/>
      <w:r>
        <w:rPr>
          <w:rFonts w:hint="eastAsia"/>
        </w:rPr>
        <w:t>相关条文</w:t>
      </w:r>
      <w:bookmarkEnd w:id="60"/>
      <w:r>
        <w:rPr>
          <w:rFonts w:hint="eastAsia"/>
        </w:rPr>
        <w:t>要求，</w:t>
      </w:r>
      <w:bookmarkStart w:id="61" w:name="得分结论"/>
      <w:r>
        <w:rPr>
          <w:b/>
        </w:rPr>
        <w:t>得 10 分</w:t>
      </w:r>
      <w:bookmarkEnd w:id="61"/>
      <w:r>
        <w:rPr>
          <w:rFonts w:hint="eastAsia"/>
          <w:b/>
        </w:rPr>
        <w:t xml:space="preserve">。 </w:t>
      </w: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49270">
    <w:pPr>
      <w:pStyle w:val="10"/>
      <w:rPr>
        <w:sz w:val="21"/>
        <w:szCs w:val="21"/>
      </w:rPr>
    </w:pPr>
    <w:r>
      <w:fldChar w:fldCharType="begin"/>
    </w:r>
    <w:r>
      <w:instrText xml:space="preserve"> HYPERLINK "http://www.gbsware.cn/" </w:instrText>
    </w:r>
    <w:r>
      <w:fldChar w:fldCharType="separate"/>
    </w:r>
    <w:r>
      <w:rPr>
        <w:kern w:val="0"/>
        <w:sz w:val="21"/>
        <w:szCs w:val="20"/>
        <w:lang w:val="en-GB"/>
      </w:rPr>
      <w:t>http://www.gbsware.cn/</w:t>
    </w:r>
    <w:r>
      <w:rPr>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1</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w:instrTex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instrText xml:space="preserve">6</w:instrText>
    </w:r>
    <w:r>
      <w:rPr>
        <w:rFonts w:ascii="Times New Roman" w:hAnsi="Times New Roman"/>
        <w:kern w:val="0"/>
        <w:sz w:val="21"/>
        <w:szCs w:val="20"/>
        <w:lang w:val="en-GB"/>
      </w:rPr>
      <w:fldChar w:fldCharType="end"/>
    </w:r>
    <w:r>
      <w:rPr>
        <w:rFonts w:ascii="Times New Roman" w:hAnsi="Times New Roman"/>
        <w:kern w:val="0"/>
        <w:sz w:val="21"/>
        <w:szCs w:val="20"/>
        <w:lang w:val="en-GB"/>
      </w:rPr>
      <w:instrText xml:space="preserve">-2\* Arabic  \* MERGEFORMAT </w:instrText>
    </w:r>
    <w:r>
      <w:rPr>
        <w:rFonts w:ascii="Times New Roman" w:hAnsi="Times New Roman"/>
        <w:kern w:val="0"/>
        <w:sz w:val="21"/>
        <w:szCs w:val="20"/>
        <w:lang w:val="en-GB"/>
      </w:rPr>
      <w:fldChar w:fldCharType="separate"/>
    </w:r>
    <w:r>
      <w:rPr>
        <w:rFonts w:ascii="Times New Roman" w:hAnsi="Times New Roman"/>
        <w:b/>
        <w:kern w:val="0"/>
        <w:sz w:val="21"/>
        <w:szCs w:val="20"/>
        <w:lang w:val="en-GB"/>
      </w:rPr>
      <w:t>4</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D1CF9">
    <w:pPr>
      <w:pStyle w:val="11"/>
    </w:pPr>
    <w:r>
      <w:drawing>
        <wp:inline distT="0" distB="0" distL="0" distR="0">
          <wp:extent cx="972185" cy="251460"/>
          <wp:effectExtent l="0" t="0" r="0" b="0"/>
          <wp:docPr id="496173812" name="Picture 496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3812" name="Picture 4961738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F156F"/>
    <w:multiLevelType w:val="multilevel"/>
    <w:tmpl w:val="576F15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15927CA"/>
    <w:rsid w:val="00003EBD"/>
    <w:rsid w:val="00005A86"/>
    <w:rsid w:val="00026651"/>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25CC"/>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05C4"/>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25DF3"/>
    <w:rsid w:val="00534C28"/>
    <w:rsid w:val="00541147"/>
    <w:rsid w:val="0054589E"/>
    <w:rsid w:val="00545D17"/>
    <w:rsid w:val="005523A5"/>
    <w:rsid w:val="00553731"/>
    <w:rsid w:val="00554ABA"/>
    <w:rsid w:val="00563807"/>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4664"/>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4079C"/>
    <w:rsid w:val="00740F1D"/>
    <w:rsid w:val="0074110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071C7"/>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2D05"/>
    <w:rsid w:val="009C48E1"/>
    <w:rsid w:val="009E0773"/>
    <w:rsid w:val="009E0961"/>
    <w:rsid w:val="009E1925"/>
    <w:rsid w:val="009E4FBB"/>
    <w:rsid w:val="009E59CA"/>
    <w:rsid w:val="009F094C"/>
    <w:rsid w:val="009F18F1"/>
    <w:rsid w:val="009F3D06"/>
    <w:rsid w:val="00A01D82"/>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1FD9"/>
    <w:rsid w:val="00BC3F18"/>
    <w:rsid w:val="00BE122C"/>
    <w:rsid w:val="00BE4BB3"/>
    <w:rsid w:val="00BE51B5"/>
    <w:rsid w:val="00BE5B8B"/>
    <w:rsid w:val="00BE6E1D"/>
    <w:rsid w:val="00C02B5F"/>
    <w:rsid w:val="00C03121"/>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0C14"/>
    <w:rsid w:val="00D11A20"/>
    <w:rsid w:val="00D14CD0"/>
    <w:rsid w:val="00D207FB"/>
    <w:rsid w:val="00D21815"/>
    <w:rsid w:val="00D24FB2"/>
    <w:rsid w:val="00D303E4"/>
    <w:rsid w:val="00D34E70"/>
    <w:rsid w:val="00D35F01"/>
    <w:rsid w:val="00D4295A"/>
    <w:rsid w:val="00D62874"/>
    <w:rsid w:val="00D650C0"/>
    <w:rsid w:val="00D71C25"/>
    <w:rsid w:val="00D73004"/>
    <w:rsid w:val="00D83B4F"/>
    <w:rsid w:val="00D87027"/>
    <w:rsid w:val="00DA3C21"/>
    <w:rsid w:val="00DA60F0"/>
    <w:rsid w:val="00DA710A"/>
    <w:rsid w:val="00DC15F5"/>
    <w:rsid w:val="00DD0A81"/>
    <w:rsid w:val="00DF0317"/>
    <w:rsid w:val="00DF085E"/>
    <w:rsid w:val="00DF2B98"/>
    <w:rsid w:val="00DF2D10"/>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16A95"/>
    <w:rsid w:val="00F24521"/>
    <w:rsid w:val="00F25618"/>
    <w:rsid w:val="00F3631E"/>
    <w:rsid w:val="00F46175"/>
    <w:rsid w:val="00F46F8B"/>
    <w:rsid w:val="00F515FF"/>
    <w:rsid w:val="00F544B1"/>
    <w:rsid w:val="00F601E8"/>
    <w:rsid w:val="00F64650"/>
    <w:rsid w:val="00F67A25"/>
    <w:rsid w:val="00F70C42"/>
    <w:rsid w:val="00F75808"/>
    <w:rsid w:val="00F82E22"/>
    <w:rsid w:val="00F85F15"/>
    <w:rsid w:val="00F8780D"/>
    <w:rsid w:val="00F95680"/>
    <w:rsid w:val="00FA060E"/>
    <w:rsid w:val="00FA0657"/>
    <w:rsid w:val="00FA1493"/>
    <w:rsid w:val="00FB0C2B"/>
    <w:rsid w:val="00FB751F"/>
    <w:rsid w:val="00FC2740"/>
    <w:rsid w:val="00FC5C1E"/>
    <w:rsid w:val="00FC792A"/>
    <w:rsid w:val="00FD4B97"/>
    <w:rsid w:val="00FD633D"/>
    <w:rsid w:val="00FE2DCA"/>
    <w:rsid w:val="00FE4B5B"/>
    <w:rsid w:val="00FF1FA5"/>
    <w:rsid w:val="00FF21E4"/>
    <w:rsid w:val="00FF4D64"/>
    <w:rsid w:val="71592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wmf"/><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3\AppData\Local\Temp\tmp2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76698-CBD8-4FB6-B64F-2929B07D4296}">
  <ds:schemaRefs/>
</ds:datastoreItem>
</file>

<file path=docProps/app.xml><?xml version="1.0" encoding="utf-8"?>
<Properties xmlns="http://schemas.openxmlformats.org/officeDocument/2006/extended-properties" xmlns:vt="http://schemas.openxmlformats.org/officeDocument/2006/docPropsVTypes">
  <Template>tmp25.dotx</Template>
  <Pages>14</Pages>
  <Words>2653</Words>
  <Characters>3087</Characters>
  <Lines>26</Lines>
  <Paragraphs>7</Paragraphs>
  <TotalTime>0</TotalTime>
  <ScaleCrop>false</ScaleCrop>
  <LinksUpToDate>false</LinksUpToDate>
  <CharactersWithSpaces>4067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2024-12-29T15:14:00Z</dcterms:created>
  <dc:creator>Gambler</dc:creator>
  <cp:lastModifiedBy>Gambler</cp:lastModifiedBy>
  <dcterms:modified xsi:type="dcterms:W3CDTF">2024-12-29T15:14:51Z</dcterms:modified>
  <dc:title>节能室外噪声分析报告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EB5F953B246241D39B267FB01C6481DD_11</vt:lpwstr>
  </property>
  <property fmtid="{D5CDD505-2E9C-101B-9397-08002B2CF9AE}" pid="3" name="KSOTemplateDocerSaveRecord">
    <vt:lpwstr>eyJoZGlkIjoiOGNhZDQ4NGE4Nzg3MGIxNzk0NTJkMGM1YzczN2E5ZTAiLCJ1c2VySWQiOiI0MjUwNDcxMTEifQ==</vt:lpwstr>
  </property>
  <property fmtid="{D5CDD505-2E9C-101B-9397-08002B2CF9AE}" pid="4" name="KSOProductBuildVer">
    <vt:lpwstr>2052-12.1.0.19302</vt:lpwstr>
  </property>
</Properties>
</file>