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6AA3C">
      <w:pPr>
        <w:pStyle w:val="2"/>
      </w:pPr>
      <w:bookmarkStart w:id="0" w:name="_GoBack"/>
      <w:bookmarkEnd w:id="0"/>
      <w:r>
        <w:t>建设工程质量保险产品保单</w:t>
      </w:r>
    </w:p>
    <w:p w14:paraId="0AB3270E">
      <w:pPr>
        <w:pStyle w:val="3"/>
      </w:pPr>
      <w:r>
        <w:t>保单基本信息</w:t>
      </w:r>
    </w:p>
    <w:p w14:paraId="3155E886">
      <w:pPr>
        <w:pStyle w:val="16"/>
      </w:pPr>
      <w:r>
        <w:rPr>
          <w:b/>
          <w:bCs/>
        </w:rPr>
        <w:t>保单编号</w:t>
      </w:r>
      <w:r>
        <w:t>：[具体编号，具有唯一性，便于识别与查询]</w:t>
      </w:r>
    </w:p>
    <w:p w14:paraId="59919404">
      <w:pPr>
        <w:pStyle w:val="16"/>
      </w:pPr>
      <w:r>
        <w:rPr>
          <w:b/>
          <w:bCs/>
        </w:rPr>
        <w:t>投保人</w:t>
      </w:r>
      <w:r>
        <w:t>：[建设单位名称]，地址：[详细地址]，联系方式：[联系电话 / 邮箱]</w:t>
      </w:r>
    </w:p>
    <w:p w14:paraId="192C207F">
      <w:pPr>
        <w:pStyle w:val="16"/>
      </w:pPr>
      <w:r>
        <w:rPr>
          <w:b/>
          <w:bCs/>
        </w:rPr>
        <w:t>被保险人</w:t>
      </w:r>
      <w:r>
        <w:t>：[建筑所有权人名称（若为住宅项目，通常为业主）]，地址：[详细地址]，联系方式：[联系电话 / 邮箱]</w:t>
      </w:r>
    </w:p>
    <w:p w14:paraId="0061235C">
      <w:pPr>
        <w:pStyle w:val="16"/>
      </w:pPr>
      <w:r>
        <w:rPr>
          <w:b/>
          <w:bCs/>
        </w:rPr>
        <w:t>保险项目名称</w:t>
      </w:r>
      <w:r>
        <w:t>：[建设工程项目全称]</w:t>
      </w:r>
    </w:p>
    <w:p w14:paraId="5ECC53E1">
      <w:pPr>
        <w:pStyle w:val="16"/>
      </w:pPr>
      <w:r>
        <w:rPr>
          <w:b/>
          <w:bCs/>
        </w:rPr>
        <w:t>保险项目地址</w:t>
      </w:r>
      <w:r>
        <w:t>：[项目详细地理位置]</w:t>
      </w:r>
    </w:p>
    <w:p w14:paraId="501E4128">
      <w:pPr>
        <w:pStyle w:val="16"/>
      </w:pPr>
      <w:r>
        <w:rPr>
          <w:b/>
          <w:bCs/>
        </w:rPr>
        <w:t>保险期限</w:t>
      </w:r>
      <w:r>
        <w:t>：自 [起始日期，一般从工程竣工验收合格并交付使用后一段时间开始，如交付后 3 个月] 起，至 [结束日期，根据不同工程部位和保险约定，如主体结构保险期限可能为 10 年等] 止</w:t>
      </w:r>
    </w:p>
    <w:p w14:paraId="42A22AE6">
      <w:pPr>
        <w:pStyle w:val="3"/>
      </w:pPr>
      <w:r>
        <w:t>保险责任</w:t>
      </w:r>
    </w:p>
    <w:p w14:paraId="0F38ECA5">
      <w:pPr>
        <w:pStyle w:val="16"/>
        <w:numPr>
          <w:ilvl w:val="0"/>
          <w:numId w:val="1"/>
        </w:numPr>
      </w:pPr>
      <w:r>
        <w:rPr>
          <w:b/>
          <w:bCs/>
        </w:rPr>
        <w:t>工程质量潜在缺陷保障</w:t>
      </w:r>
    </w:p>
    <w:p w14:paraId="5BD6F47A">
      <w:pPr>
        <w:pStyle w:val="16"/>
        <w:numPr>
          <w:ilvl w:val="1"/>
          <w:numId w:val="2"/>
        </w:numPr>
      </w:pPr>
      <w:r>
        <w:t>在保险期限内，若被保险工程因以下工程质量潜在缺陷导致建筑本体损坏，保险公司负责赔偿、维修或重置：</w:t>
      </w:r>
    </w:p>
    <w:p w14:paraId="3A9379EC">
      <w:pPr>
        <w:pStyle w:val="16"/>
        <w:numPr>
          <w:ilvl w:val="2"/>
          <w:numId w:val="2"/>
        </w:numPr>
      </w:pPr>
      <w:r>
        <w:t>地基基础和主体结构工程在合理使用寿命年限内发生的质量问题，如地基沉降超过设计允许范围、主体结构开裂、变形影响安全使用等。</w:t>
      </w:r>
    </w:p>
    <w:p w14:paraId="145D532E">
      <w:pPr>
        <w:pStyle w:val="16"/>
        <w:numPr>
          <w:ilvl w:val="2"/>
          <w:numId w:val="2"/>
        </w:numPr>
      </w:pPr>
      <w:r>
        <w:t>保温与防水工程，包括外墙外保温系统脱落、渗漏，屋面防水渗漏，卫生间、厨房等防水失效导致渗漏等问题，保险期限一般为 [X] 年。</w:t>
      </w:r>
    </w:p>
    <w:p w14:paraId="71E40D16">
      <w:pPr>
        <w:pStyle w:val="16"/>
        <w:numPr>
          <w:ilvl w:val="2"/>
          <w:numId w:val="2"/>
        </w:numPr>
      </w:pPr>
      <w:r>
        <w:t>电气管线、给排水管道、设备安装和装修工程等，在保险期限 [X] 年内出现的质量问题，如电气短路、给排水管道破裂漏水、装修材料脱落等。</w:t>
      </w:r>
    </w:p>
    <w:p w14:paraId="4BF3C19C">
      <w:pPr>
        <w:pStyle w:val="16"/>
        <w:numPr>
          <w:ilvl w:val="0"/>
          <w:numId w:val="3"/>
        </w:numPr>
      </w:pPr>
      <w:r>
        <w:rPr>
          <w:b/>
          <w:bCs/>
        </w:rPr>
        <w:t>附加第三者责任保障（可选）</w:t>
      </w:r>
    </w:p>
    <w:p w14:paraId="3BD27BE0">
      <w:pPr>
        <w:pStyle w:val="16"/>
        <w:numPr>
          <w:ilvl w:val="1"/>
          <w:numId w:val="2"/>
        </w:numPr>
      </w:pPr>
      <w:r>
        <w:t>若因被保险工程的质量问题，导致第三者人身伤亡或财产损失，依法应由被保险人承担的经济赔偿责任，保险公司按照合同约定负责赔偿。例如，因建筑外墙脱落砸伤路人或损坏路人车辆等情况。</w:t>
      </w:r>
    </w:p>
    <w:p w14:paraId="702E633A">
      <w:pPr>
        <w:pStyle w:val="3"/>
      </w:pPr>
      <w:r>
        <w:t>责任免除</w:t>
      </w:r>
    </w:p>
    <w:p w14:paraId="76AEB85C">
      <w:pPr>
        <w:pStyle w:val="16"/>
        <w:numPr>
          <w:ilvl w:val="0"/>
          <w:numId w:val="4"/>
        </w:numPr>
      </w:pPr>
      <w:r>
        <w:t>由以下原因造成的损失、费用和责任，保险公司不负责赔偿：</w:t>
      </w:r>
    </w:p>
    <w:p w14:paraId="7902034B">
      <w:pPr>
        <w:pStyle w:val="16"/>
        <w:numPr>
          <w:ilvl w:val="1"/>
          <w:numId w:val="2"/>
        </w:numPr>
      </w:pPr>
      <w:r>
        <w:t>投保人、被保险人或相关参建单位的故意行为、重大过失行为，如偷工减料、违规操作等导致的工程质量问题。</w:t>
      </w:r>
    </w:p>
    <w:p w14:paraId="2A5884C2">
      <w:pPr>
        <w:pStyle w:val="16"/>
        <w:numPr>
          <w:ilvl w:val="1"/>
          <w:numId w:val="2"/>
        </w:numPr>
      </w:pPr>
      <w:r>
        <w:t>战争、敌对行为、军事行动、武装冲突、罢工、暴动、民众骚乱引起的工程质量问题及损失。</w:t>
      </w:r>
    </w:p>
    <w:p w14:paraId="1006BE69">
      <w:pPr>
        <w:pStyle w:val="16"/>
        <w:numPr>
          <w:ilvl w:val="1"/>
          <w:numId w:val="2"/>
        </w:numPr>
      </w:pPr>
      <w:r>
        <w:t>核反应、核子辐射和放射性污染导致的工程损坏。</w:t>
      </w:r>
    </w:p>
    <w:p w14:paraId="75B55992">
      <w:pPr>
        <w:pStyle w:val="16"/>
        <w:numPr>
          <w:ilvl w:val="1"/>
          <w:numId w:val="2"/>
        </w:numPr>
      </w:pPr>
      <w:r>
        <w:t>正常的磨损、消耗及老化，如建筑外立面正常的褪色、门窗五金件的正常磨损等。</w:t>
      </w:r>
    </w:p>
    <w:p w14:paraId="7815856C">
      <w:pPr>
        <w:pStyle w:val="16"/>
        <w:numPr>
          <w:ilvl w:val="1"/>
          <w:numId w:val="2"/>
        </w:numPr>
      </w:pPr>
      <w:r>
        <w:t>被保险人或使用人擅自改变房屋结构、使用功能、装修等导致的质量问题。</w:t>
      </w:r>
    </w:p>
    <w:p w14:paraId="5D82B385">
      <w:pPr>
        <w:pStyle w:val="16"/>
        <w:numPr>
          <w:ilvl w:val="1"/>
          <w:numId w:val="2"/>
        </w:numPr>
      </w:pPr>
      <w:r>
        <w:t>在工程质量保修期开始前已经存在或发现的质量缺陷。</w:t>
      </w:r>
    </w:p>
    <w:p w14:paraId="1DBEFE84">
      <w:pPr>
        <w:pStyle w:val="16"/>
        <w:numPr>
          <w:ilvl w:val="0"/>
          <w:numId w:val="5"/>
        </w:numPr>
      </w:pPr>
      <w:r>
        <w:t>下列损失、费用和责任，保险公司也不负责赔偿：</w:t>
      </w:r>
    </w:p>
    <w:p w14:paraId="72E69D31">
      <w:pPr>
        <w:pStyle w:val="16"/>
        <w:numPr>
          <w:ilvl w:val="1"/>
          <w:numId w:val="2"/>
        </w:numPr>
      </w:pPr>
      <w:r>
        <w:t>被保险人或相关参建单位应承担的合同违约责任。</w:t>
      </w:r>
    </w:p>
    <w:p w14:paraId="61430FB2">
      <w:pPr>
        <w:pStyle w:val="16"/>
        <w:numPr>
          <w:ilvl w:val="1"/>
          <w:numId w:val="2"/>
        </w:numPr>
      </w:pPr>
      <w:r>
        <w:t>任何间接损失，如因工程质量问题导致房屋无法按时出租产生的租金损失等。</w:t>
      </w:r>
    </w:p>
    <w:p w14:paraId="62D20554">
      <w:pPr>
        <w:pStyle w:val="16"/>
        <w:numPr>
          <w:ilvl w:val="1"/>
          <w:numId w:val="2"/>
        </w:numPr>
      </w:pPr>
      <w:r>
        <w:t>保险单中约定的免赔额范围内的损失。</w:t>
      </w:r>
    </w:p>
    <w:p w14:paraId="02D2CBB7">
      <w:pPr>
        <w:pStyle w:val="3"/>
      </w:pPr>
      <w:r>
        <w:t>保险金额与保险费</w:t>
      </w:r>
    </w:p>
    <w:p w14:paraId="3A6FA3D3">
      <w:pPr>
        <w:pStyle w:val="16"/>
        <w:numPr>
          <w:ilvl w:val="0"/>
          <w:numId w:val="6"/>
        </w:numPr>
      </w:pPr>
      <w:r>
        <w:rPr>
          <w:b/>
          <w:bCs/>
        </w:rPr>
        <w:t>保险金额</w:t>
      </w:r>
      <w:r>
        <w:t>：根据被保险工程的造价、风险评估等因素确定，本保单保险金额为人民币 [X] 元，该金额为保险公司在保险期限内承担赔偿责任的最高限额。</w:t>
      </w:r>
    </w:p>
    <w:p w14:paraId="5F9129EC">
      <w:pPr>
        <w:pStyle w:val="16"/>
        <w:numPr>
          <w:ilvl w:val="0"/>
          <w:numId w:val="6"/>
        </w:numPr>
      </w:pPr>
      <w:r>
        <w:rPr>
          <w:b/>
          <w:bCs/>
        </w:rPr>
        <w:t>保险费</w:t>
      </w:r>
      <w:r>
        <w:t>：投保人应按照保险合同约定向保险公司支付保险费。保险费金额为人民币 [X] 元，支付方式为 [一次性支付 / 分期支付，若分期需明确各期支付时间与金额]。保险费的计算基于工程规模、风险等级、保险期限等综合因素，由保险公司根据专业精算确定。</w:t>
      </w:r>
    </w:p>
    <w:p w14:paraId="2C813204">
      <w:pPr>
        <w:pStyle w:val="3"/>
      </w:pPr>
      <w:r>
        <w:t>理赔流程</w:t>
      </w:r>
    </w:p>
    <w:p w14:paraId="7765090A">
      <w:pPr>
        <w:pStyle w:val="16"/>
        <w:numPr>
          <w:ilvl w:val="0"/>
          <w:numId w:val="7"/>
        </w:numPr>
      </w:pPr>
      <w:r>
        <w:rPr>
          <w:b/>
          <w:bCs/>
        </w:rPr>
        <w:t>报案</w:t>
      </w:r>
      <w:r>
        <w:t>：被保险人在发现工程质量问题后，应及时向保险公司报案。报案方式包括拨打保险公司客服热线 [具体号码]、通过保险公司官方 APP 报案或向保险公司指定的理赔服务点报案。报案时需提供保单编号、工程名称、质量问题描述、发现时间等相关信息。</w:t>
      </w:r>
    </w:p>
    <w:p w14:paraId="62A1048D">
      <w:pPr>
        <w:pStyle w:val="16"/>
        <w:numPr>
          <w:ilvl w:val="0"/>
          <w:numId w:val="7"/>
        </w:numPr>
      </w:pPr>
      <w:r>
        <w:rPr>
          <w:b/>
          <w:bCs/>
        </w:rPr>
        <w:t>现场查勘</w:t>
      </w:r>
      <w:r>
        <w:t>：保险公司在接到报案后，将在 [规定时间，如 24 小时内] 安排专业的工程质量风险管理机构或理赔人员前往现场进行查勘。查勘人员将对质量问题进行初步评估，确定问题是否属于保险责任范围，并收集相关证据，如照片、视频、检测报告等。</w:t>
      </w:r>
    </w:p>
    <w:p w14:paraId="4A31E43B">
      <w:pPr>
        <w:pStyle w:val="16"/>
        <w:numPr>
          <w:ilvl w:val="0"/>
          <w:numId w:val="7"/>
        </w:numPr>
      </w:pPr>
      <w:r>
        <w:rPr>
          <w:b/>
          <w:bCs/>
        </w:rPr>
        <w:t>理赔申请</w:t>
      </w:r>
      <w:r>
        <w:t>：若质量问题属于保险责任范围，被保险人需填写理赔申请表，并提供相关证明材料，包括但不限于保单正本、身份证明、工程竣工验收报告、质量问题鉴定报告（如需要）、维修费用清单等。证明材料应真实、完整，以支持理赔申请。</w:t>
      </w:r>
    </w:p>
    <w:p w14:paraId="36E96ABE">
      <w:pPr>
        <w:pStyle w:val="16"/>
        <w:numPr>
          <w:ilvl w:val="0"/>
          <w:numId w:val="7"/>
        </w:numPr>
      </w:pPr>
      <w:r>
        <w:rPr>
          <w:b/>
          <w:bCs/>
        </w:rPr>
        <w:t>理赔审核</w:t>
      </w:r>
      <w:r>
        <w:t>：保险公司收到理赔申请及相关材料后，将进行审核。审核内容包括保险责任认定、损失核定、理赔材料真实性等。审核过程中，保险公司可能会与被保险人、相关参建单位、工程质量鉴定机构等进行沟通核实。审核时间一般不超过 [规定工作日，如 30 个工作日]，但复杂案件可能会适当延长。</w:t>
      </w:r>
    </w:p>
    <w:p w14:paraId="202C46D1">
      <w:pPr>
        <w:pStyle w:val="16"/>
        <w:numPr>
          <w:ilvl w:val="0"/>
          <w:numId w:val="7"/>
        </w:numPr>
      </w:pPr>
      <w:r>
        <w:rPr>
          <w:b/>
          <w:bCs/>
        </w:rPr>
        <w:t>赔偿支付</w:t>
      </w:r>
      <w:r>
        <w:t>：经审核确定属于保险责任且理赔金额达成一致后，保险公司将在 [规定时间，如 10 个工作日内] 将赔偿款支付给被保险人或按照合同约定直接支付给维修单位。赔偿方式可以是货币赔偿、维修服务或重置，具体根据保险合同约定和实际情况确定。</w:t>
      </w:r>
    </w:p>
    <w:p w14:paraId="48EE2AF7">
      <w:pPr>
        <w:pStyle w:val="3"/>
      </w:pPr>
      <w:r>
        <w:t>特别约定</w:t>
      </w:r>
    </w:p>
    <w:p w14:paraId="3836B592">
      <w:pPr>
        <w:pStyle w:val="16"/>
        <w:numPr>
          <w:ilvl w:val="0"/>
          <w:numId w:val="8"/>
        </w:numPr>
      </w:pPr>
      <w:r>
        <w:t>投保人应在工程建设过程中，按照国家相关法律法规和工程建设标准规范，履行建设单位的质量责任和义务，确保工程质量。若因投保人未履行相关责任导致工程质量问题，保险公司有权在保险责任范围内进行追偿。</w:t>
      </w:r>
    </w:p>
    <w:p w14:paraId="6A88C578">
      <w:pPr>
        <w:pStyle w:val="16"/>
        <w:numPr>
          <w:ilvl w:val="0"/>
          <w:numId w:val="8"/>
        </w:numPr>
      </w:pPr>
      <w:r>
        <w:t>保险公司有权委托专业的工程质量风险管理机构对被保险工程进行全过程质量风险管控。风险管理机构将在基础、主体、装饰等每个施工阶段定期开展质量检查，并向保险公司提供风险评估报告。投保人、被保险人及相关参建单位应积极配合风险管理机构的工作。</w:t>
      </w:r>
    </w:p>
    <w:p w14:paraId="03AC0632">
      <w:pPr>
        <w:pStyle w:val="16"/>
        <w:numPr>
          <w:ilvl w:val="0"/>
          <w:numId w:val="8"/>
        </w:numPr>
      </w:pPr>
      <w:r>
        <w:t>在保险期限内，若被保险工程发生转让、继承等所有权变更情况，被保险人应及时通知保险公司办理批改手续。否则，保险公司对因所有权变更导致的保险责任变化不承担责任。</w:t>
      </w:r>
    </w:p>
    <w:p w14:paraId="19C0DAF5">
      <w:pPr>
        <w:pStyle w:val="16"/>
        <w:numPr>
          <w:ilvl w:val="0"/>
          <w:numId w:val="8"/>
        </w:numPr>
      </w:pPr>
      <w:r>
        <w:t>本保单适用 [具体法律，如中华人民共和国保险法、建筑法等相关法律法规]，在履行保险合同过程中如发生争议，双方应协商解决；协商不成的，可以依法向有管辖权的人民法院提起诉讼。</w:t>
      </w:r>
    </w:p>
    <w:p w14:paraId="6808B240">
      <w:pPr>
        <w:pStyle w:val="3"/>
      </w:pPr>
      <w:r>
        <w:t>保单生效</w:t>
      </w:r>
    </w:p>
    <w:p w14:paraId="7D5F1913">
      <w:pPr>
        <w:pStyle w:val="16"/>
      </w:pPr>
      <w:r>
        <w:t>本保单自投保人按照约定支付保险费，且保险公司同意承保后生效。保单生效日期以保险单载明的日期为准。本保单一式 [X] 份，投保人、被保险人、保险公司各执一份，具有同等法律效力。</w:t>
      </w:r>
    </w:p>
    <w:p w14:paraId="55E1778C">
      <w:pPr>
        <w:pStyle w:val="16"/>
      </w:pPr>
      <w:r>
        <w:t>保险公司（盖章）：__________________</w:t>
      </w:r>
    </w:p>
    <w:p w14:paraId="1A029B29">
      <w:pPr>
        <w:pStyle w:val="16"/>
      </w:pPr>
      <w:r>
        <w:t>法定代表人（签字）：__________________</w:t>
      </w:r>
    </w:p>
    <w:p w14:paraId="03667A4B">
      <w:pPr>
        <w:pStyle w:val="16"/>
      </w:pPr>
      <w:r>
        <w:t>日期：[具体日期]</w:t>
      </w:r>
    </w:p>
    <w:p w14:paraId="2CA76228">
      <w:pPr>
        <w:pStyle w:val="16"/>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
    <w:nsid w:val="59ADCABA"/>
    <w:multiLevelType w:val="multilevel"/>
    <w:tmpl w:val="59ADCABA"/>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num w:numId="1">
    <w:abstractNumId w:val="0"/>
    <w:lvlOverride w:ilvl="0">
      <w:startOverride w:val="1"/>
    </w:lvlOverride>
  </w: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ompat>
    <w:useFELayout/>
    <w:compatSetting w:name="compatibilityMode" w:uri="http://schemas.microsoft.com/office/word" w:val="15"/>
  </w:compat>
  <w:rsids>
    <w:rsidRoot w:val="00000000"/>
    <w:rsid w:val="649411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uiPriority w:val="99"/>
    <w:rPr>
      <w:sz w:val="20"/>
      <w:szCs w:val="20"/>
    </w:rPr>
  </w:style>
  <w:style w:type="paragraph" w:customStyle="1" w:styleId="16">
    <w:name w:val="_Style 13"/>
    <w:uiPriority w:val="0"/>
    <w:pPr>
      <w:spacing w:before="120" w:after="120" w:line="288" w:lineRule="auto"/>
      <w:ind w:left="0"/>
      <w:jc w:val="left"/>
    </w:pPr>
    <w:rPr>
      <w:rFonts w:ascii="Arial" w:hAnsi="Arial" w:eastAsia="等线" w:cs="Arial"/>
      <w:sz w:val="22"/>
      <w:szCs w:val="22"/>
    </w:rPr>
  </w:style>
  <w:style w:type="paragraph" w:customStyle="1" w:styleId="17">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2192</Words>
  <Characters>2242</Characters>
  <TotalTime>0</TotalTime>
  <ScaleCrop>false</ScaleCrop>
  <LinksUpToDate>false</LinksUpToDate>
  <CharactersWithSpaces>2282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2025-03-05T09:36:00Z</dcterms:created>
  <dc:creator>Un-named</dc:creator>
  <cp:lastModifiedBy>Gambler</cp:lastModifiedBy>
  <dcterms:modified xsi:type="dcterms:W3CDTF">2025-03-05T09:36:40Z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0E0EBF33DBF0483FB9B2211655639E7E_13</vt:lpwstr>
  </property>
</Properties>
</file>