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1E4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景观水体补水量平衡计算书</w:t>
      </w:r>
    </w:p>
    <w:p w14:paraId="369EC28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6734414F">
      <w:pPr>
        <w:keepNext w:val="0"/>
        <w:keepLines w:val="0"/>
        <w:widowControl/>
        <w:suppressLineNumbers w:val="0"/>
        <w:jc w:val="left"/>
      </w:pPr>
    </w:p>
    <w:p w14:paraId="75E2014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景观水体概况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：景观水体位于 [具体地点]，形状近似矩形，长 [L] 米，宽 [W] 米，平均水深 [H] 米，水体面积 [S = L×W] 平方米，水体体积 [V = S×H] 立方米。</w:t>
      </w:r>
    </w:p>
    <w:p w14:paraId="357282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周边环境及气象条件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：该区域年平均气温 [Ta]℃，年平均相对湿度 [RH]%，年平均风速 [Vw] 米 / 秒。主导风向为 [风向]。</w:t>
      </w:r>
    </w:p>
    <w:p w14:paraId="1D36C65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二、水量损失分析</w:t>
      </w:r>
    </w:p>
    <w:p w14:paraId="223606F9">
      <w:pPr>
        <w:keepNext w:val="0"/>
        <w:keepLines w:val="0"/>
        <w:widowControl/>
        <w:suppressLineNumbers w:val="0"/>
        <w:jc w:val="left"/>
      </w:pPr>
    </w:p>
    <w:p w14:paraId="5092315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蒸发损失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：采用彭曼公式计算水面蒸发量。彭曼公式为：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0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Δ+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γ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(1+0.34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5"/>
          <w:szCs w:val="15"/>
          <w:shd w:val="clear" w:fill="FFFFFF"/>
        </w:rPr>
        <w:t>w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)0.408Δ(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R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5"/>
          <w:szCs w:val="15"/>
          <w:shd w:val="clear" w:fill="FFFFFF"/>
        </w:rPr>
        <w:t>n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−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G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)+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γ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5"/>
          <w:szCs w:val="15"/>
          <w:shd w:val="clear" w:fill="FFFFFF"/>
        </w:rPr>
        <w:t>T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5"/>
          <w:szCs w:val="15"/>
          <w:shd w:val="clear" w:fill="FFFFFF"/>
        </w:rPr>
        <w:t>+273900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5"/>
          <w:szCs w:val="15"/>
          <w:shd w:val="clear" w:fill="FFFFFF"/>
        </w:rPr>
        <w:t>w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(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5"/>
          <w:szCs w:val="15"/>
          <w:shd w:val="clear" w:fill="FFFFFF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−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5"/>
          <w:szCs w:val="15"/>
          <w:shd w:val="clear" w:fill="FFFFFF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)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其中：</w:t>
      </w:r>
    </w:p>
    <w:p w14:paraId="1866B0E7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0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为水面蒸发量（mm/d）；</w:t>
      </w:r>
    </w:p>
    <w:p w14:paraId="24C7D8D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为饱和水汽压与温度关系曲线的斜率（kPa/℃），通过公式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Δ=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(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T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+273)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5"/>
          <w:szCs w:val="15"/>
          <w:shd w:val="clear" w:fill="FFFFFF"/>
        </w:rPr>
        <w:t>2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4098×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5"/>
          <w:szCs w:val="15"/>
          <w:shd w:val="clear" w:fill="FFFFFF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计算，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为饱和水汽压（kPa），可由公式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=0.611×exp(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T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+237.317.27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T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得出，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T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为平均气温（℃）；</w:t>
      </w:r>
    </w:p>
    <w:p w14:paraId="69BE631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R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n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为净辐射（MJ/(m²・d)），可通过相关气象数据计算或参考当地经验值，此处取 [Rn 值]；</w:t>
      </w:r>
    </w:p>
    <w:p w14:paraId="32E90B2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G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为土壤热通量（MJ/(m²・d)），对于景观水体，可取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G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=0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；</w:t>
      </w:r>
    </w:p>
    <w:p w14:paraId="122AAC9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γ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为干湿表常数（kPa/℃），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γ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=0.066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；</w:t>
      </w:r>
    </w:p>
    <w:p w14:paraId="4905EAA5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w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为风速（m/s）；</w:t>
      </w:r>
    </w:p>
    <w:p w14:paraId="1DCD53C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为实际水汽压（kPa），可通过相对湿度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RH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和饱和水汽压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计算，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RH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/100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 w14:paraId="0BD2AD51">
      <w:pPr>
        <w:keepNext w:val="0"/>
        <w:keepLines w:val="0"/>
        <w:widowControl/>
        <w:suppressLineNumbers w:val="0"/>
        <w:jc w:val="left"/>
      </w:pPr>
    </w:p>
    <w:p w14:paraId="58842D8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经计算，该景观水体日蒸发量为</w:t>
      </w:r>
      <w:r>
        <w:rPr>
          <w:rFonts w:hint="default" w:ascii="KaTeX_Math" w:hAnsi="KaTeX_Math" w:eastAsia="KaTeX_Math" w:cs="KaTeX_Math"/>
          <w:i/>
          <w:iCs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E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KaTeX_Math" w:hAnsi="KaTeX_Math" w:eastAsia="KaTeX_Math" w:cs="KaTeX_Math"/>
          <w:i/>
          <w:iCs/>
          <w:caps w:val="0"/>
          <w:spacing w:val="0"/>
          <w:kern w:val="0"/>
          <w:sz w:val="14"/>
          <w:szCs w:val="14"/>
          <w:shd w:val="clear" w:fill="FFFFFF"/>
          <w:lang w:val="en-US" w:eastAsia="zh-CN" w:bidi="ar"/>
        </w:rPr>
        <w:t>d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mm/d。则日蒸发损失水量</w:t>
      </w:r>
      <w:r>
        <w:rPr>
          <w:rFonts w:hint="default" w:ascii="KaTeX_Math" w:hAnsi="KaTeX_Math" w:eastAsia="KaTeX_Math" w:cs="KaTeX_Math"/>
          <w:i/>
          <w:iCs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spacing w:val="0"/>
          <w:kern w:val="0"/>
          <w:sz w:val="14"/>
          <w:szCs w:val="14"/>
          <w:shd w:val="clear" w:fill="FFFFFF"/>
          <w:lang w:val="en-US" w:eastAsia="zh-CN" w:bidi="ar"/>
        </w:rPr>
        <w:t>evap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E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KaTeX_Math" w:hAnsi="KaTeX_Math" w:eastAsia="KaTeX_Math" w:cs="KaTeX_Math"/>
          <w:i/>
          <w:iCs/>
          <w:caps w:val="0"/>
          <w:spacing w:val="0"/>
          <w:kern w:val="0"/>
          <w:sz w:val="14"/>
          <w:szCs w:val="14"/>
          <w:shd w:val="clear" w:fill="FFFFFF"/>
          <w:lang w:val="en-US" w:eastAsia="zh-CN" w:bidi="ar"/>
        </w:rPr>
        <w:t>d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×</w:t>
      </w:r>
      <w:r>
        <w:rPr>
          <w:rFonts w:hint="default" w:ascii="KaTeX_Math" w:hAnsi="KaTeX_Math" w:eastAsia="KaTeX_Math" w:cs="KaTeX_Math"/>
          <w:i/>
          <w:iCs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S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spacing w:val="0"/>
          <w:kern w:val="0"/>
          <w:sz w:val="25"/>
          <w:szCs w:val="25"/>
          <w:shd w:val="clear" w:fill="FFFFFF"/>
          <w:lang w:val="en-US" w:eastAsia="zh-CN" w:bidi="ar"/>
        </w:rPr>
        <w:t>×0.001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立方米 /d。</w:t>
      </w:r>
    </w:p>
    <w:p w14:paraId="05E52323">
      <w:pPr>
        <w:keepNext w:val="0"/>
        <w:keepLines w:val="0"/>
        <w:widowControl/>
        <w:suppressLineNumbers w:val="0"/>
        <w:jc w:val="left"/>
      </w:pPr>
    </w:p>
    <w:p w14:paraId="23863F5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</w:p>
    <w:p w14:paraId="56F3BD09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渗漏损失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：通过现场观测及地质勘查，估算景观水体底部及周边的渗漏速率为 [渗漏速率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q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，单位为立方米 /(平方米・d)]。则日渗漏损失水量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seep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q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S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立方米 /d。</w:t>
      </w:r>
    </w:p>
    <w:p w14:paraId="3CDA21D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</w:p>
    <w:p w14:paraId="3C90BF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</w:p>
    <w:p w14:paraId="3AA091FD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溢流损失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：景观水体设有溢流口，当水位超过设计水位 [设计水位高度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h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max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，米] 时发生溢流。假设在暴雨等极端情况下，每月发生 [溢流次数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n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] 次溢流，每次溢流持续时间为 [t] 小时，溢流流量为 [Q，立方米 / 小时]。则月溢流损失水量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overflow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n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Q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t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立方米 / 月，日平均溢流损失水量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overflowd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overflow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/30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立方米 /d（按每月 30 天计算）。</w:t>
      </w:r>
    </w:p>
    <w:p w14:paraId="5BB4138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</w:p>
    <w:p w14:paraId="0C7E250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三、补水量计算</w:t>
      </w:r>
    </w:p>
    <w:p w14:paraId="03531011">
      <w:pPr>
        <w:keepNext w:val="0"/>
        <w:keepLines w:val="0"/>
        <w:widowControl/>
        <w:suppressLineNumbers w:val="0"/>
        <w:jc w:val="left"/>
      </w:pPr>
    </w:p>
    <w:p w14:paraId="66313D9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</w:p>
    <w:p w14:paraId="20D0736E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日补水量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：为维持景观水体水位平衡，日补水量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daily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应等于日蒸发损失水量、日渗漏损失水量与日平均溢流损失水量之和，即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daily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evap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+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seep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+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overflowd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立方米 /d。</w:t>
      </w:r>
    </w:p>
    <w:p w14:paraId="1352854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</w:p>
    <w:p w14:paraId="05E93C1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</w:p>
    <w:p w14:paraId="37B5D273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年补水量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：年补水量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annual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V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kern w:val="0"/>
          <w:sz w:val="14"/>
          <w:szCs w:val="14"/>
          <w:shd w:val="clear" w:fill="FFFFFF"/>
          <w:lang w:val="en-US" w:eastAsia="zh-CN" w:bidi="ar"/>
        </w:rPr>
        <w:t>daily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1"/>
          <w:szCs w:val="1"/>
          <w:shd w:val="clear" w:fill="FFFFFF"/>
          <w:lang w:val="en-US" w:eastAsia="zh-CN" w:bidi="ar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kern w:val="0"/>
          <w:sz w:val="25"/>
          <w:szCs w:val="25"/>
          <w:shd w:val="clear" w:fill="FFFFFF"/>
          <w:lang w:val="en-US" w:eastAsia="zh-CN" w:bidi="ar"/>
        </w:rPr>
        <w:t>×365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立方米 / 年。考虑到不同季节气温、降水等因素对水量损失的影响，可进一步细分季节进行补水量计算，如夏季气温高，蒸发损失大，补水量相应增加；冬季蒸发损失小，补水量可适当减少。具体可根据实际监测数据或经验系数进行调整。</w:t>
      </w:r>
    </w:p>
    <w:p w14:paraId="3A693E5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</w:p>
    <w:p w14:paraId="7CE8722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四、补水水源及方式</w:t>
      </w:r>
    </w:p>
    <w:p w14:paraId="41A4E067">
      <w:pPr>
        <w:keepNext w:val="0"/>
        <w:keepLines w:val="0"/>
        <w:widowControl/>
        <w:suppressLineNumbers w:val="0"/>
        <w:jc w:val="left"/>
      </w:pPr>
    </w:p>
    <w:p w14:paraId="046F73D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补水水源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：优先考虑再生水作为补水水源，其水质满足景观用水标准，且成本相对较低。若再生水供应不足，可辅以雨水收集系统收集的雨水或少量自来水。</w:t>
      </w:r>
    </w:p>
    <w:p w14:paraId="22330C3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补水方式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水泵将补水水源提升至景观水体，通过在水体周边设置的补水口均匀补水。在补水口处设置流量控制阀，根据水位监测数据自动调节补水量，确保景观水体水位稳定在设计范围内。同时，定期对补水水质进行检测，防止补水水源对景观水体造成污染。</w:t>
      </w:r>
    </w:p>
    <w:p w14:paraId="67474A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1573E"/>
    <w:multiLevelType w:val="multilevel"/>
    <w:tmpl w:val="B81157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F2E453D"/>
    <w:multiLevelType w:val="multilevel"/>
    <w:tmpl w:val="FF2E45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A2B1A94"/>
    <w:multiLevelType w:val="multilevel"/>
    <w:tmpl w:val="1A2B1A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760A5DE"/>
    <w:multiLevelType w:val="multilevel"/>
    <w:tmpl w:val="7760A5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D3405C2"/>
    <w:multiLevelType w:val="multilevel"/>
    <w:tmpl w:val="7D3405C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7019"/>
    <w:rsid w:val="16A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2025-03-03T12:48:00Z</dcterms:created>
  <dc:creator>Gambler</dc:creator>
  <cp:lastModifiedBy>Gambler</cp:lastModifiedBy>
  <dcterms:modified xsi:type="dcterms:W3CDTF">2025-03-03T12:48:40Z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4EA276E8F54C4AF08A101327FBBD27A0_11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