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环峰映像·古城再生——桂林人文艺术馆方案设计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项目地址：叠彩区凤北路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项目名称：环峰映像·古城再生——桂林人文艺术馆方案设计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围护结构提高0%或负荷降低0%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全寿命期单位建筑面积碳排放强为936.29kgCO2/（m2·a）减碳率8%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