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8"/>
              <w:tabs>
                <w:tab w:val="clear" w:pos="4153"/>
                <w:tab w:val="clear" w:pos="8306"/>
              </w:tabs>
              <w:snapToGrid/>
              <w:jc w:val="both"/>
              <w:rPr>
                <w:rFonts w:ascii="宋体" w:hAnsi="宋体"/>
                <w:szCs w:val="21"/>
              </w:rPr>
            </w:pPr>
            <w:bookmarkStart w:id="1" w:name="项目名称"/>
            <w:r>
              <w:t>云栖绿廊</w:t>
            </w:r>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重庆</w:t>
            </w:r>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r>
              <w:t>BKA70337</w:t>
            </w:r>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r>
              <w:t>重庆大学</w:t>
            </w:r>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r>
              <w:t>重庆大学</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2024年12月28日</w:t>
            </w:r>
            <w:bookmarkEnd w:id="6"/>
          </w:p>
        </w:tc>
      </w:tr>
    </w:tbl>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pPr>
              <w:spacing w:line="240" w:lineRule="atLeast"/>
              <w:jc w:val="both"/>
              <w:rPr>
                <w:rFonts w:ascii="宋体" w:hAnsi="宋体"/>
                <w:szCs w:val="21"/>
              </w:rPr>
            </w:pPr>
            <w:bookmarkStart w:id="8" w:name="采用软件"/>
            <w:r>
              <w:rPr>
                <w:rFonts w:hint="eastAsia" w:ascii="宋体" w:hAnsi="宋体"/>
              </w:rPr>
              <w:t>建筑通风Vent2024</w:t>
            </w:r>
            <w:bookmarkEnd w:id="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pPr>
              <w:spacing w:line="240" w:lineRule="atLeast"/>
              <w:jc w:val="both"/>
              <w:rPr>
                <w:rFonts w:ascii="宋体" w:hAnsi="宋体"/>
                <w:szCs w:val="21"/>
              </w:rPr>
            </w:pPr>
            <w:bookmarkStart w:id="9" w:name="软件版本"/>
            <w:r>
              <w:rPr>
                <w:rFonts w:ascii="宋体" w:hAnsi="宋体"/>
                <w:szCs w:val="21"/>
              </w:rPr>
              <w:t>20240430(SP1)</w:t>
            </w:r>
            <w:bookmarkEnd w:id="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pPr>
              <w:widowControl w:val="0"/>
              <w:spacing w:line="240" w:lineRule="auto"/>
              <w:jc w:val="both"/>
              <w:rPr>
                <w:rFonts w:ascii="宋体" w:hAnsi="宋体" w:eastAsia="等线"/>
                <w:kern w:val="2"/>
                <w:szCs w:val="21"/>
                <w:lang w:val="en-US"/>
              </w:rPr>
            </w:pPr>
            <w:bookmarkStart w:id="10" w:name="加密锁号"/>
            <w:r>
              <w:t>T19132052027</w:t>
            </w:r>
            <w:bookmarkEnd w:id="10"/>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_Toc12060 </w:instrText>
      </w:r>
      <w:r>
        <w:rPr>
          <w:rFonts w:ascii="宋体" w:hAnsi="宋体"/>
          <w:bCs w:val="0"/>
          <w:caps/>
        </w:rPr>
        <w:fldChar w:fldCharType="separate"/>
      </w:r>
      <w:r>
        <w:rPr>
          <w:rFonts w:hint="eastAsia"/>
        </w:rPr>
        <w:t>1 项目概况</w:t>
      </w:r>
      <w:r>
        <w:tab/>
      </w:r>
      <w:r>
        <w:fldChar w:fldCharType="begin"/>
      </w:r>
      <w:r>
        <w:instrText xml:space="preserve"> PAGEREF _Toc12060 \h </w:instrText>
      </w:r>
      <w:r>
        <w:fldChar w:fldCharType="separate"/>
      </w:r>
      <w:r>
        <w:t>3</w:t>
      </w:r>
      <w:r>
        <w:fldChar w:fldCharType="end"/>
      </w:r>
      <w:r>
        <w:rPr>
          <w:rFonts w:ascii="宋体" w:hAnsi="宋体"/>
          <w:bCs w:val="0"/>
          <w:caps/>
        </w:rPr>
        <w:fldChar w:fldCharType="end"/>
      </w:r>
    </w:p>
    <w:p>
      <w:pPr>
        <w:pStyle w:val="21"/>
        <w:tabs>
          <w:tab w:val="right" w:leader="dot" w:pos="8930"/>
          <w:tab w:val="clear" w:pos="540"/>
          <w:tab w:val="clear" w:pos="840"/>
          <w:tab w:val="clear" w:pos="9360"/>
        </w:tabs>
      </w:pPr>
      <w:r>
        <w:fldChar w:fldCharType="begin"/>
      </w:r>
      <w:r>
        <w:instrText xml:space="preserve"> HYPERLINK \l _Toc31763 </w:instrText>
      </w:r>
      <w:r>
        <w:fldChar w:fldCharType="separate"/>
      </w:r>
      <w:r>
        <w:rPr>
          <w:rFonts w:hint="eastAsia"/>
          <w:lang w:val="en-GB"/>
        </w:rPr>
        <w:t xml:space="preserve">1.1 </w:t>
      </w:r>
      <w:r>
        <w:t>平面图</w:t>
      </w:r>
      <w:r>
        <w:tab/>
      </w:r>
      <w:r>
        <w:fldChar w:fldCharType="begin"/>
      </w:r>
      <w:r>
        <w:instrText xml:space="preserve"> PAGEREF _Toc31763 \h </w:instrText>
      </w:r>
      <w:r>
        <w:fldChar w:fldCharType="separate"/>
      </w:r>
      <w:r>
        <w:t>4</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_Toc10475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_Toc10475 \h </w:instrText>
      </w:r>
      <w:r>
        <w:fldChar w:fldCharType="separate"/>
      </w:r>
      <w:r>
        <w:t>6</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_Toc10271 </w:instrText>
      </w:r>
      <w:r>
        <w:fldChar w:fldCharType="separate"/>
      </w:r>
      <w:r>
        <w:rPr>
          <w:rFonts w:hint="eastAsia"/>
        </w:rPr>
        <w:t>2 计算</w:t>
      </w:r>
      <w:r>
        <w:t>依据</w:t>
      </w:r>
      <w:r>
        <w:tab/>
      </w:r>
      <w:r>
        <w:fldChar w:fldCharType="begin"/>
      </w:r>
      <w:r>
        <w:instrText xml:space="preserve"> PAGEREF _Toc10271 \h </w:instrText>
      </w:r>
      <w:r>
        <w:fldChar w:fldCharType="separate"/>
      </w:r>
      <w:r>
        <w:t>7</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_Toc5753 </w:instrText>
      </w:r>
      <w:r>
        <w:fldChar w:fldCharType="separate"/>
      </w:r>
      <w:r>
        <w:rPr>
          <w:rFonts w:hint="eastAsia"/>
        </w:rPr>
        <w:t>3 参考</w:t>
      </w:r>
      <w:r>
        <w:t>标准</w:t>
      </w:r>
      <w:r>
        <w:tab/>
      </w:r>
      <w:r>
        <w:fldChar w:fldCharType="begin"/>
      </w:r>
      <w:r>
        <w:instrText xml:space="preserve"> PAGEREF _Toc5753 \h </w:instrText>
      </w:r>
      <w:r>
        <w:fldChar w:fldCharType="separate"/>
      </w:r>
      <w:r>
        <w:t>7</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_Toc20470 </w:instrText>
      </w:r>
      <w:r>
        <w:fldChar w:fldCharType="separate"/>
      </w:r>
      <w:r>
        <w:rPr>
          <w:rFonts w:hint="eastAsia"/>
        </w:rPr>
        <w:t>4 技术措施</w:t>
      </w:r>
      <w:r>
        <w:tab/>
      </w:r>
      <w:r>
        <w:fldChar w:fldCharType="begin"/>
      </w:r>
      <w:r>
        <w:instrText xml:space="preserve"> PAGEREF _Toc20470 \h </w:instrText>
      </w:r>
      <w:r>
        <w:fldChar w:fldCharType="separate"/>
      </w:r>
      <w:r>
        <w:t>7</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_Toc31891 </w:instrText>
      </w:r>
      <w:r>
        <w:fldChar w:fldCharType="separate"/>
      </w:r>
      <w:r>
        <w:rPr>
          <w:rFonts w:hint="eastAsia"/>
        </w:rPr>
        <w:t>5 计算方法</w:t>
      </w:r>
      <w:r>
        <w:tab/>
      </w:r>
      <w:r>
        <w:fldChar w:fldCharType="begin"/>
      </w:r>
      <w:r>
        <w:instrText xml:space="preserve"> PAGEREF _Toc31891 \h </w:instrText>
      </w:r>
      <w:r>
        <w:fldChar w:fldCharType="separate"/>
      </w:r>
      <w:r>
        <w:t>8</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_Toc30580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_Toc30580 \h </w:instrText>
      </w:r>
      <w:r>
        <w:fldChar w:fldCharType="separate"/>
      </w:r>
      <w:r>
        <w:t>8</w:t>
      </w:r>
      <w:r>
        <w:fldChar w:fldCharType="end"/>
      </w:r>
      <w:r>
        <w:fldChar w:fldCharType="end"/>
      </w:r>
    </w:p>
    <w:p>
      <w:pPr>
        <w:pStyle w:val="16"/>
        <w:tabs>
          <w:tab w:val="right" w:leader="dot" w:pos="8930"/>
          <w:tab w:val="clear" w:pos="900"/>
          <w:tab w:val="clear" w:pos="1260"/>
          <w:tab w:val="clear" w:pos="9360"/>
        </w:tabs>
      </w:pPr>
      <w:r>
        <w:fldChar w:fldCharType="begin"/>
      </w:r>
      <w:r>
        <w:instrText xml:space="preserve"> HYPERLINK \l _Toc8405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_Toc8405 \h </w:instrText>
      </w:r>
      <w:r>
        <w:fldChar w:fldCharType="separate"/>
      </w:r>
      <w:r>
        <w:t>8</w:t>
      </w:r>
      <w:r>
        <w:fldChar w:fldCharType="end"/>
      </w:r>
      <w:r>
        <w:fldChar w:fldCharType="end"/>
      </w:r>
    </w:p>
    <w:p>
      <w:pPr>
        <w:pStyle w:val="16"/>
        <w:tabs>
          <w:tab w:val="right" w:leader="dot" w:pos="8930"/>
          <w:tab w:val="clear" w:pos="900"/>
          <w:tab w:val="clear" w:pos="1260"/>
          <w:tab w:val="clear" w:pos="9360"/>
        </w:tabs>
      </w:pPr>
      <w:r>
        <w:fldChar w:fldCharType="begin"/>
      </w:r>
      <w:r>
        <w:instrText xml:space="preserve"> HYPERLINK \l _Toc16918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_Toc16918 \h </w:instrText>
      </w:r>
      <w:r>
        <w:fldChar w:fldCharType="separate"/>
      </w:r>
      <w:r>
        <w:t>9</w:t>
      </w:r>
      <w:r>
        <w:fldChar w:fldCharType="end"/>
      </w:r>
      <w:r>
        <w:fldChar w:fldCharType="end"/>
      </w:r>
    </w:p>
    <w:p>
      <w:pPr>
        <w:pStyle w:val="16"/>
        <w:tabs>
          <w:tab w:val="right" w:leader="dot" w:pos="8930"/>
          <w:tab w:val="clear" w:pos="900"/>
          <w:tab w:val="clear" w:pos="1260"/>
          <w:tab w:val="clear" w:pos="9360"/>
        </w:tabs>
      </w:pPr>
      <w:r>
        <w:fldChar w:fldCharType="begin"/>
      </w:r>
      <w:r>
        <w:instrText xml:space="preserve"> HYPERLINK \l _Toc983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_Toc983 \h </w:instrText>
      </w:r>
      <w:r>
        <w:fldChar w:fldCharType="separate"/>
      </w:r>
      <w:r>
        <w:t>9</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_Toc5365 </w:instrText>
      </w:r>
      <w:r>
        <w:fldChar w:fldCharType="separate"/>
      </w:r>
      <w:r>
        <w:rPr>
          <w:rFonts w:hint="eastAsia"/>
        </w:rPr>
        <w:t>6 结果</w:t>
      </w:r>
      <w:r>
        <w:t>分析</w:t>
      </w:r>
      <w:r>
        <w:tab/>
      </w:r>
      <w:r>
        <w:fldChar w:fldCharType="begin"/>
      </w:r>
      <w:r>
        <w:instrText xml:space="preserve"> PAGEREF _Toc5365 \h </w:instrText>
      </w:r>
      <w:r>
        <w:fldChar w:fldCharType="separate"/>
      </w:r>
      <w:r>
        <w:t>11</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_Toc18857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_Toc18857 \h </w:instrText>
      </w:r>
      <w:r>
        <w:fldChar w:fldCharType="separate"/>
      </w:r>
      <w:r>
        <w:t>11</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_Toc29142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_Toc29142 \h </w:instrText>
      </w:r>
      <w:r>
        <w:fldChar w:fldCharType="separate"/>
      </w:r>
      <w:r>
        <w:t>15</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_Toc27428 </w:instrText>
      </w:r>
      <w:r>
        <w:fldChar w:fldCharType="separate"/>
      </w:r>
      <w:r>
        <w:rPr>
          <w:rFonts w:hint="eastAsia"/>
          <w:lang w:val="en-GB"/>
        </w:rPr>
        <w:t xml:space="preserve">6.3 </w:t>
      </w:r>
      <w:r>
        <w:rPr>
          <w:rFonts w:hint="eastAsia"/>
        </w:rPr>
        <w:t>流线图</w:t>
      </w:r>
      <w:r>
        <w:tab/>
      </w:r>
      <w:r>
        <w:fldChar w:fldCharType="begin"/>
      </w:r>
      <w:r>
        <w:instrText xml:space="preserve"> PAGEREF _Toc27428 \h </w:instrText>
      </w:r>
      <w:r>
        <w:fldChar w:fldCharType="separate"/>
      </w:r>
      <w:r>
        <w:t>19</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_Toc7086 </w:instrText>
      </w:r>
      <w:r>
        <w:fldChar w:fldCharType="separate"/>
      </w:r>
      <w:r>
        <w:rPr>
          <w:rFonts w:hint="eastAsia"/>
          <w:szCs w:val="36"/>
        </w:rPr>
        <w:t>7 结论</w:t>
      </w:r>
      <w:r>
        <w:tab/>
      </w:r>
      <w:r>
        <w:fldChar w:fldCharType="begin"/>
      </w:r>
      <w:r>
        <w:instrText xml:space="preserve"> PAGEREF _Toc7086 \h </w:instrText>
      </w:r>
      <w:r>
        <w:fldChar w:fldCharType="separate"/>
      </w:r>
      <w:r>
        <w:t>22</w:t>
      </w:r>
      <w:r>
        <w:fldChar w:fldCharType="end"/>
      </w:r>
      <w:r>
        <w:fldChar w:fldCharType="end"/>
      </w:r>
    </w:p>
    <w:p>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pPr>
        <w:pStyle w:val="2"/>
      </w:pPr>
      <w:bookmarkStart w:id="12" w:name="_Toc452108759"/>
      <w:bookmarkStart w:id="13" w:name="_Toc13735908"/>
      <w:bookmarkStart w:id="14" w:name="_Toc50050011"/>
      <w:bookmarkStart w:id="15" w:name="_Toc12060"/>
      <w:bookmarkStart w:id="16" w:name="TitleFormat"/>
      <w:bookmarkStart w:id="17" w:name="_Toc452108762"/>
      <w:r>
        <w:rPr>
          <w:rFonts w:hint="eastAsia"/>
        </w:rPr>
        <w:t>项目概况</w:t>
      </w:r>
      <w:bookmarkEnd w:id="12"/>
      <w:bookmarkEnd w:id="13"/>
      <w:bookmarkEnd w:id="14"/>
      <w:bookmarkEnd w:id="15"/>
    </w:p>
    <w:p>
      <w:pPr>
        <w:pStyle w:val="3"/>
        <w:ind w:firstLine="420"/>
        <w:rPr>
          <w:lang w:val="en-US"/>
        </w:rPr>
      </w:pPr>
      <w:bookmarkStart w:id="18" w:name="项目概况"/>
      <w:bookmarkEnd w:id="18"/>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9" w:name="_Toc50050012"/>
      <w:bookmarkStart w:id="20" w:name="_Toc452108760"/>
      <w:bookmarkStart w:id="21" w:name="_Toc13735909"/>
      <w:bookmarkStart w:id="22" w:name="_Toc31763"/>
      <w:bookmarkStart w:id="23" w:name="平面图2"/>
      <w:r>
        <w:t>平面图</w:t>
      </w:r>
      <w:bookmarkEnd w:id="19"/>
      <w:bookmarkEnd w:id="20"/>
      <w:bookmarkEnd w:id="21"/>
      <w:bookmarkEnd w:id="22"/>
    </w:p>
    <w:p>
      <w:pPr>
        <w:pStyle w:val="3"/>
        <w:ind w:firstLine="0" w:firstLineChars="0"/>
        <w:jc w:val="center"/>
        <w:rPr>
          <w:lang w:val="en-US"/>
        </w:rPr>
      </w:pPr>
      <w:bookmarkStart w:id="24" w:name="平面图"/>
      <w:bookmarkEnd w:id="24"/>
      <w:r>
        <w:drawing>
          <wp:inline distT="0" distB="0" distL="0" distR="0">
            <wp:extent cx="5667375" cy="5800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5800725"/>
                    </a:xfrm>
                    <a:prstGeom prst="rect">
                      <a:avLst/>
                    </a:prstGeom>
                  </pic:spPr>
                </pic:pic>
              </a:graphicData>
            </a:graphic>
          </wp:inline>
        </w:drawing>
      </w:r>
    </w:p>
    <w:p>
      <w:pPr>
        <w:pStyle w:val="3"/>
        <w:ind w:firstLine="0" w:firstLineChars="0"/>
        <w:jc w:val="center"/>
        <w:rPr>
          <w:lang w:val="en-US"/>
        </w:rPr>
      </w:pPr>
      <w:r>
        <w:rPr>
          <w:rFonts w:hint="eastAsia"/>
          <w:lang w:val="en-US" w:eastAsia="zh-CN"/>
        </w:rPr>
        <w:t>-</w:t>
      </w:r>
      <w:r>
        <w:rPr>
          <w:lang w:val="en-US"/>
        </w:rPr>
        <w:t>1层平面</w:t>
      </w:r>
    </w:p>
    <w:p>
      <w:pPr>
        <w:pStyle w:val="3"/>
        <w:ind w:firstLine="0" w:firstLineChars="0"/>
        <w:jc w:val="center"/>
        <w:rPr>
          <w:lang w:val="en-US"/>
        </w:rPr>
      </w:pPr>
      <w:r>
        <w:drawing>
          <wp:inline distT="0" distB="0" distL="0" distR="0">
            <wp:extent cx="5667375" cy="55816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5581650"/>
                    </a:xfrm>
                    <a:prstGeom prst="rect">
                      <a:avLst/>
                    </a:prstGeom>
                  </pic:spPr>
                </pic:pic>
              </a:graphicData>
            </a:graphic>
          </wp:inline>
        </w:drawing>
      </w:r>
    </w:p>
    <w:p>
      <w:pPr>
        <w:pStyle w:val="3"/>
        <w:ind w:firstLine="0" w:firstLineChars="0"/>
        <w:jc w:val="center"/>
        <w:rPr>
          <w:lang w:val="en-US"/>
        </w:rPr>
      </w:pPr>
      <w:r>
        <w:rPr>
          <w:rFonts w:hint="eastAsia"/>
          <w:lang w:val="en-US" w:eastAsia="zh-CN"/>
        </w:rPr>
        <w:t>1</w:t>
      </w:r>
      <w:r>
        <w:rPr>
          <w:lang w:val="en-US"/>
        </w:rPr>
        <w:t>层平面</w:t>
      </w:r>
    </w:p>
    <w:p>
      <w:pPr>
        <w:pStyle w:val="3"/>
        <w:ind w:firstLine="0" w:firstLineChars="0"/>
        <w:jc w:val="center"/>
        <w:rPr>
          <w:lang w:val="en-US"/>
        </w:rPr>
      </w:pPr>
    </w:p>
    <w:bookmarkEnd w:id="23"/>
    <w:p>
      <w:pPr>
        <w:pStyle w:val="3"/>
        <w:ind w:firstLine="0" w:firstLineChars="0"/>
        <w:jc w:val="center"/>
        <w:rPr>
          <w:lang w:val="en-US"/>
        </w:rPr>
      </w:pPr>
    </w:p>
    <w:p>
      <w:pPr>
        <w:pStyle w:val="4"/>
      </w:pPr>
      <w:bookmarkStart w:id="25" w:name="_Toc452108761"/>
      <w:bookmarkStart w:id="26" w:name="_Toc13735910"/>
      <w:bookmarkStart w:id="27" w:name="_Toc50050013"/>
      <w:bookmarkStart w:id="28" w:name="_Toc10475"/>
      <w:bookmarkStart w:id="76" w:name="_GoBack"/>
      <w:r>
        <w:drawing>
          <wp:anchor distT="0" distB="0" distL="114300" distR="114300" simplePos="0" relativeHeight="251659264" behindDoc="0" locked="0" layoutInCell="1" allowOverlap="1">
            <wp:simplePos x="0" y="0"/>
            <wp:positionH relativeFrom="column">
              <wp:posOffset>582930</wp:posOffset>
            </wp:positionH>
            <wp:positionV relativeFrom="paragraph">
              <wp:posOffset>549275</wp:posOffset>
            </wp:positionV>
            <wp:extent cx="4429760" cy="2147570"/>
            <wp:effectExtent l="0" t="0" r="2540" b="1143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429760" cy="2147570"/>
                    </a:xfrm>
                    <a:prstGeom prst="rect">
                      <a:avLst/>
                    </a:prstGeom>
                    <a:noFill/>
                    <a:ln>
                      <a:noFill/>
                    </a:ln>
                  </pic:spPr>
                </pic:pic>
              </a:graphicData>
            </a:graphic>
          </wp:anchor>
        </w:drawing>
      </w:r>
      <w:bookmarkEnd w:id="76"/>
      <w:r>
        <w:rPr>
          <w:rFonts w:hint="eastAsia"/>
        </w:rPr>
        <w:t>三</w:t>
      </w:r>
      <w:r>
        <w:t>维视图</w:t>
      </w:r>
      <w:bookmarkEnd w:id="25"/>
      <w:bookmarkEnd w:id="26"/>
      <w:bookmarkEnd w:id="27"/>
      <w:bookmarkEnd w:id="28"/>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9" w:name="_Toc50050014"/>
      <w:bookmarkStart w:id="30" w:name="_Toc10271"/>
      <w:r>
        <w:rPr>
          <w:rFonts w:hint="eastAsia"/>
        </w:rPr>
        <w:t>计算</w:t>
      </w:r>
      <w:r>
        <w:t>依据</w:t>
      </w:r>
      <w:bookmarkEnd w:id="16"/>
      <w:bookmarkEnd w:id="17"/>
      <w:bookmarkEnd w:id="29"/>
      <w:bookmarkEnd w:id="30"/>
    </w:p>
    <w:p>
      <w:pPr>
        <w:pStyle w:val="3"/>
        <w:ind w:firstLine="199" w:firstLineChars="95"/>
        <w:rPr>
          <w:lang w:val="en-US"/>
        </w:rPr>
      </w:pPr>
      <w:bookmarkStart w:id="31" w:name="_Toc452108763"/>
      <w:r>
        <w:rPr>
          <w:rFonts w:hint="eastAsia"/>
          <w:lang w:val="en-US"/>
        </w:rPr>
        <w:t>本项目主要参照资料为：</w:t>
      </w:r>
    </w:p>
    <w:p>
      <w:pPr>
        <w:pStyle w:val="3"/>
        <w:numPr>
          <w:ilvl w:val="0"/>
          <w:numId w:val="2"/>
        </w:numPr>
        <w:ind w:left="0" w:firstLine="200" w:firstLineChars="0"/>
        <w:rPr>
          <w:lang w:val="en-US"/>
        </w:rPr>
      </w:pPr>
      <w:bookmarkStart w:id="32" w:name="参考标准名称1"/>
      <w:r>
        <w:rPr>
          <w:rFonts w:hint="eastAsia"/>
          <w:lang w:val="en-US"/>
        </w:rPr>
        <w:t>《绿色建筑评价标准》GB/T50378-2019</w:t>
      </w:r>
      <w:bookmarkEnd w:id="32"/>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r>
        <w:rPr>
          <w:rFonts w:hint="eastAsia"/>
          <w:lang w:val="en-US"/>
        </w:rPr>
        <w:t>《建筑通风效果测试与评价标准》JGJ/T 309—2013</w:t>
      </w:r>
    </w:p>
    <w:p>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pPr>
        <w:pStyle w:val="3"/>
        <w:ind w:left="200" w:firstLine="0" w:firstLineChars="0"/>
        <w:rPr>
          <w:lang w:val="en-US"/>
        </w:rPr>
      </w:pPr>
    </w:p>
    <w:p>
      <w:pPr>
        <w:pStyle w:val="2"/>
      </w:pPr>
      <w:bookmarkStart w:id="33" w:name="_Toc50050015"/>
      <w:bookmarkStart w:id="34" w:name="_Toc5753"/>
      <w:r>
        <w:rPr>
          <w:rFonts w:hint="eastAsia"/>
        </w:rPr>
        <w:t>参考</w:t>
      </w:r>
      <w:r>
        <w:t>标准</w:t>
      </w:r>
      <w:bookmarkEnd w:id="31"/>
      <w:bookmarkEnd w:id="33"/>
      <w:bookmarkEnd w:id="34"/>
    </w:p>
    <w:p>
      <w:pPr>
        <w:pStyle w:val="3"/>
        <w:ind w:firstLine="420"/>
        <w:rPr>
          <w:lang w:val="en-US"/>
        </w:rPr>
      </w:pPr>
      <w:bookmarkStart w:id="35" w:name="_Toc452108764"/>
      <w:bookmarkStart w:id="36" w:name="_Toc451698935"/>
      <w:bookmarkStart w:id="37" w:name="_Toc451436145"/>
      <w:r>
        <w:rPr>
          <w:rFonts w:hint="eastAsia"/>
          <w:lang w:val="en-US"/>
        </w:rPr>
        <w:t>室内气流组织评价的主要依据为</w:t>
      </w:r>
      <w:bookmarkStart w:id="38" w:name="参考标准名称2"/>
      <w:r>
        <w:rPr>
          <w:rFonts w:hint="eastAsia"/>
          <w:lang w:val="en-US"/>
        </w:rPr>
        <w:t>《绿色建筑评价标准》GB/T50378-2019</w:t>
      </w:r>
      <w:bookmarkEnd w:id="38"/>
      <w:r>
        <w:rPr>
          <w:rFonts w:hint="eastAsia"/>
          <w:lang w:val="en-US"/>
        </w:rPr>
        <w:t>中控制项5.1.2条的要求，具体要求如下：</w:t>
      </w:r>
    </w:p>
    <w:p>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pPr>
        <w:pStyle w:val="2"/>
      </w:pPr>
      <w:bookmarkStart w:id="39" w:name="_Toc50050016"/>
      <w:bookmarkStart w:id="40" w:name="_Toc20470"/>
      <w:r>
        <w:rPr>
          <w:rFonts w:hint="eastAsia"/>
        </w:rPr>
        <w:t>技术措施</w:t>
      </w:r>
      <w:bookmarkEnd w:id="39"/>
      <w:bookmarkEnd w:id="40"/>
    </w:p>
    <w:p>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rPr>
                <w:sz w:val="21"/>
                <w:szCs w:val="21"/>
              </w:rPr>
            </w:pPr>
            <w:r>
              <w:rPr>
                <w:sz w:val="21"/>
                <w:szCs w:val="21"/>
              </w:rPr>
              <w:t>房间类型</w:t>
            </w:r>
          </w:p>
        </w:tc>
        <w:tc>
          <w:tcPr>
            <w:shd w:val="clear" w:color="auto" w:fill="E6E6E6"/>
            <w:vAlign w:val="center"/>
          </w:tcPr>
          <w:p>
            <w:pPr>
              <w:jc w:val="center"/>
              <w:rPr>
                <w:sz w:val="21"/>
                <w:szCs w:val="21"/>
              </w:rPr>
            </w:pPr>
            <w:r>
              <w:rPr>
                <w:sz w:val="21"/>
                <w:szCs w:val="21"/>
              </w:rPr>
              <w:t>措施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rPr>
                <w:sz w:val="21"/>
                <w:szCs w:val="21"/>
              </w:rPr>
            </w:pPr>
            <w:r>
              <w:rPr>
                <w:sz w:val="21"/>
                <w:szCs w:val="21"/>
              </w:rPr>
              <w:t>厨房</w:t>
            </w:r>
          </w:p>
        </w:tc>
        <w:tc>
          <w:tcPr>
            <w:vAlign w:val="center"/>
          </w:tcPr>
          <w:p>
            <w:pPr>
              <w:rPr>
                <w:sz w:val="21"/>
                <w:szCs w:val="21"/>
              </w:rPr>
            </w:pPr>
            <w:r>
              <w:rPr>
                <w:sz w:val="21"/>
                <w:szCs w:val="21"/>
              </w:rPr>
              <w:t>置于自然通风负压侧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安装抽油烟机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设置竖向排风道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采用双烟道设计</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排气道设计有利于排气通畅</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安装止回排气阀、放倒灌风帽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风口位置合理，进排风无短路/无污染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排放位置合理，远离其他空间/室外人员活动区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rPr>
                <w:sz w:val="21"/>
                <w:szCs w:val="21"/>
              </w:rPr>
            </w:pPr>
            <w:r>
              <w:rPr>
                <w:sz w:val="21"/>
                <w:szCs w:val="21"/>
              </w:rPr>
              <w:t>卫生间</w:t>
            </w:r>
          </w:p>
        </w:tc>
        <w:tc>
          <w:tcPr>
            <w:vAlign w:val="center"/>
          </w:tcPr>
          <w:p>
            <w:pPr>
              <w:rPr>
                <w:sz w:val="21"/>
                <w:szCs w:val="21"/>
              </w:rPr>
            </w:pPr>
            <w:r>
              <w:rPr>
                <w:sz w:val="21"/>
                <w:szCs w:val="21"/>
              </w:rPr>
              <w:t>置于自然通风负压侧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安装排气扇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设置竖向排风道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排气道设计有利于排气通畅</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安装止回排气阀、放倒灌风帽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风口位置合理，进排风无短路/无污染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排放位置合理，远离其他空间/室外人员活动区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设置气窗（公共卫生间、浴室）</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rPr>
                <w:sz w:val="21"/>
                <w:szCs w:val="21"/>
              </w:rPr>
            </w:pPr>
            <w:r>
              <w:rPr>
                <w:sz w:val="21"/>
                <w:szCs w:val="21"/>
              </w:rPr>
              <w:t>餐厅</w:t>
            </w:r>
          </w:p>
        </w:tc>
        <w:tc>
          <w:tcPr>
            <w:vAlign w:val="center"/>
          </w:tcPr>
          <w:p>
            <w:pPr>
              <w:rPr>
                <w:sz w:val="21"/>
                <w:szCs w:val="21"/>
              </w:rPr>
            </w:pPr>
            <w:r>
              <w:rPr>
                <w:sz w:val="21"/>
                <w:szCs w:val="21"/>
              </w:rP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安装抽油烟机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设置负压排风系统</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风口位置合理，进排风无短路/无污染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排放位置合理，远离其他空间/室外人员活动区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rPr>
                <w:sz w:val="21"/>
                <w:szCs w:val="21"/>
              </w:rPr>
            </w:pPr>
            <w:r>
              <w:rPr>
                <w:sz w:val="21"/>
                <w:szCs w:val="21"/>
              </w:rPr>
              <w:t>打印复印室</w:t>
            </w:r>
          </w:p>
        </w:tc>
        <w:tc>
          <w:tcPr>
            <w:vAlign w:val="center"/>
          </w:tcPr>
          <w:p>
            <w:pPr>
              <w:rPr>
                <w:sz w:val="21"/>
                <w:szCs w:val="21"/>
              </w:rPr>
            </w:pPr>
            <w:r>
              <w:rPr>
                <w:sz w:val="21"/>
                <w:szCs w:val="21"/>
              </w:rP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设置负压机械排风</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安装止回排气阀、放倒灌风帽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风口位置合理，无短路/无污染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排放位置合理，远离其他空间/室外人员活动区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rPr>
                <w:sz w:val="21"/>
                <w:szCs w:val="21"/>
              </w:rPr>
            </w:pPr>
            <w:r>
              <w:rPr>
                <w:sz w:val="21"/>
                <w:szCs w:val="21"/>
              </w:rPr>
              <w:t>地下车库</w:t>
            </w:r>
          </w:p>
        </w:tc>
        <w:tc>
          <w:tcPr>
            <w:vAlign w:val="center"/>
          </w:tcPr>
          <w:p>
            <w:pPr>
              <w:rPr>
                <w:sz w:val="21"/>
                <w:szCs w:val="21"/>
              </w:rPr>
            </w:pPr>
            <w:r>
              <w:rPr>
                <w:sz w:val="21"/>
                <w:szCs w:val="21"/>
              </w:rP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设置负压机械排风</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安装止回排气阀、放倒灌风帽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风口位置合理，无短路/无污染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排风系统独立</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排放位置合理，远离其他空间/室外人员活动区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rPr>
                <w:sz w:val="21"/>
                <w:szCs w:val="21"/>
              </w:rPr>
            </w:pPr>
            <w:r>
              <w:rPr>
                <w:sz w:val="21"/>
                <w:szCs w:val="21"/>
              </w:rPr>
              <w:t>垃圾房</w:t>
            </w:r>
          </w:p>
        </w:tc>
        <w:tc>
          <w:tcPr>
            <w:vAlign w:val="center"/>
          </w:tcPr>
          <w:p>
            <w:pPr>
              <w:rPr>
                <w:sz w:val="21"/>
                <w:szCs w:val="21"/>
              </w:rPr>
            </w:pPr>
            <w:r>
              <w:rPr>
                <w:sz w:val="21"/>
                <w:szCs w:val="21"/>
              </w:rP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设置负压机械排风</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安装止回排气阀、放倒灌风帽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风口位置合理，无短路/无污染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排风系统独立</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1"/>
                <w:szCs w:val="21"/>
              </w:rPr>
            </w:pPr>
          </w:p>
        </w:tc>
        <w:tc>
          <w:tcPr>
            <w:vAlign w:val="center"/>
          </w:tcPr>
          <w:p>
            <w:pPr>
              <w:rPr>
                <w:sz w:val="21"/>
                <w:szCs w:val="21"/>
              </w:rPr>
            </w:pPr>
            <w:r>
              <w:rPr>
                <w:sz w:val="21"/>
                <w:szCs w:val="21"/>
              </w:rPr>
              <w:t>排放位置合理，远离其他空间/室外人员活动区</w:t>
            </w:r>
          </w:p>
        </w:tc>
      </w:tr>
    </w:tbl>
    <w:p>
      <w:pPr>
        <w:pStyle w:val="3"/>
        <w:ind w:firstLine="420"/>
        <w:rPr>
          <w:lang w:val="en-US"/>
        </w:rPr>
      </w:pPr>
      <w:bookmarkStart w:id="41" w:name="技术措施"/>
      <w:bookmarkEnd w:id="41"/>
    </w:p>
    <w:p>
      <w:pPr>
        <w:pStyle w:val="2"/>
      </w:pPr>
      <w:bookmarkStart w:id="42" w:name="_Toc50050017"/>
      <w:bookmarkStart w:id="43" w:name="_Toc31891"/>
      <w:r>
        <w:rPr>
          <w:rFonts w:hint="eastAsia"/>
        </w:rPr>
        <w:t>计算</w:t>
      </w:r>
      <w:bookmarkEnd w:id="35"/>
      <w:bookmarkEnd w:id="36"/>
      <w:r>
        <w:rPr>
          <w:rFonts w:hint="eastAsia"/>
        </w:rPr>
        <w:t>方法</w:t>
      </w:r>
      <w:bookmarkEnd w:id="42"/>
      <w:bookmarkEnd w:id="43"/>
    </w:p>
    <w:p>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pPr>
        <w:pStyle w:val="4"/>
      </w:pPr>
      <w:bookmarkStart w:id="44" w:name="_Toc50050018"/>
      <w:bookmarkStart w:id="45" w:name="_Toc30580"/>
      <w:r>
        <w:t>CFD</w:t>
      </w:r>
      <w:r>
        <w:rPr>
          <w:rFonts w:hint="eastAsia"/>
        </w:rPr>
        <w:t>计算原理</w:t>
      </w:r>
      <w:bookmarkEnd w:id="44"/>
      <w:bookmarkEnd w:id="45"/>
    </w:p>
    <w:p>
      <w:pPr>
        <w:pStyle w:val="5"/>
      </w:pPr>
      <w:bookmarkStart w:id="46" w:name="_Toc50050019"/>
      <w:bookmarkStart w:id="47" w:name="_Toc8405"/>
      <w:bookmarkStart w:id="48" w:name="_Toc451698937"/>
      <w:bookmarkStart w:id="49" w:name="_Toc452108765"/>
      <w:r>
        <w:rPr>
          <w:rFonts w:hint="eastAsia"/>
        </w:rPr>
        <w:t>湍流模型</w:t>
      </w:r>
      <w:bookmarkEnd w:id="46"/>
      <w:bookmarkEnd w:id="47"/>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50" w:name="_Toc50050020"/>
      <w:bookmarkStart w:id="51" w:name="_Toc452108766"/>
      <w:bookmarkStart w:id="52" w:name="_Toc451698938"/>
      <w:bookmarkStart w:id="53" w:name="_Toc8151"/>
      <w:bookmarkStart w:id="54" w:name="_Toc16918"/>
      <w:r>
        <w:rPr>
          <w:rFonts w:hint="eastAsia"/>
        </w:rPr>
        <w:t>边界条件</w:t>
      </w:r>
      <w:bookmarkEnd w:id="50"/>
      <w:bookmarkEnd w:id="51"/>
      <w:bookmarkEnd w:id="52"/>
      <w:bookmarkEnd w:id="53"/>
      <w:bookmarkEnd w:id="54"/>
    </w:p>
    <w:p>
      <w:pPr>
        <w:spacing w:line="400" w:lineRule="atLeast"/>
        <w:ind w:firstLine="435"/>
        <w:rPr>
          <w:szCs w:val="21"/>
        </w:rPr>
      </w:pPr>
      <w:r>
        <w:rPr>
          <w:rFonts w:hint="eastAsia"/>
          <w:b/>
          <w:szCs w:val="21"/>
        </w:rPr>
        <w:t>进风窗口</w:t>
      </w:r>
      <w:r>
        <w:rPr>
          <w:rFonts w:hint="eastAsia"/>
          <w:szCs w:val="21"/>
        </w:rPr>
        <w:t>：采用压强边界条件；</w:t>
      </w:r>
    </w:p>
    <w:p>
      <w:pPr>
        <w:spacing w:line="400" w:lineRule="atLeast"/>
        <w:ind w:firstLine="435"/>
        <w:rPr>
          <w:szCs w:val="21"/>
        </w:rPr>
      </w:pPr>
      <w:r>
        <w:rPr>
          <w:rFonts w:hint="eastAsia"/>
          <w:b/>
          <w:szCs w:val="21"/>
        </w:rPr>
        <w:t>排风窗口</w:t>
      </w:r>
      <w:r>
        <w:rPr>
          <w:rFonts w:hint="eastAsia"/>
          <w:szCs w:val="21"/>
        </w:rPr>
        <w:t>：采用压强边界条件；</w:t>
      </w:r>
    </w:p>
    <w:p>
      <w:pPr>
        <w:pStyle w:val="5"/>
        <w:tabs>
          <w:tab w:val="left" w:pos="360"/>
        </w:tabs>
        <w:ind w:left="0" w:firstLine="0"/>
      </w:pPr>
      <w:bookmarkStart w:id="55" w:name="_Toc451698939"/>
      <w:bookmarkStart w:id="56" w:name="_Toc452108767"/>
      <w:bookmarkStart w:id="57" w:name="_Toc23583"/>
      <w:bookmarkStart w:id="58" w:name="_Toc50050021"/>
      <w:bookmarkStart w:id="59" w:name="_Toc983"/>
      <w:r>
        <w:rPr>
          <w:rFonts w:hint="eastAsia"/>
        </w:rPr>
        <w:t>求解计算</w:t>
      </w:r>
      <w:bookmarkEnd w:id="55"/>
      <w:bookmarkEnd w:id="56"/>
      <w:bookmarkEnd w:id="57"/>
      <w:bookmarkEnd w:id="58"/>
      <w:bookmarkEnd w:id="59"/>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60"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0"/>
      <w:r>
        <w:rPr>
          <w:rFonts w:hint="eastAsia" w:ascii="黑体" w:hAnsi="黑体" w:eastAsia="黑体"/>
          <w:sz w:val="20"/>
          <w:szCs w:val="20"/>
        </w:rPr>
        <w:t xml:space="preserve"> </w:t>
      </w:r>
      <w:bookmarkStart w:id="61" w:name="_Ref225175618"/>
      <w:r>
        <w:rPr>
          <w:rFonts w:hint="eastAsia" w:ascii="黑体" w:hAnsi="黑体" w:eastAsia="黑体"/>
          <w:sz w:val="20"/>
          <w:szCs w:val="20"/>
        </w:rPr>
        <w:t>计算流体力学的控制方程</w:t>
      </w:r>
      <w:bookmarkEnd w:id="61"/>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2"/>
      </w:pPr>
      <w:bookmarkStart w:id="62" w:name="_Toc3745"/>
      <w:bookmarkStart w:id="63" w:name="_Toc50050022"/>
      <w:bookmarkStart w:id="64" w:name="_Toc452108768"/>
      <w:bookmarkStart w:id="65" w:name="_Toc5365"/>
      <w:r>
        <w:rPr>
          <w:rFonts w:hint="eastAsia"/>
        </w:rPr>
        <w:t>结果</w:t>
      </w:r>
      <w:r>
        <w:t>分析</w:t>
      </w:r>
      <w:bookmarkEnd w:id="62"/>
      <w:bookmarkEnd w:id="63"/>
      <w:bookmarkEnd w:id="64"/>
      <w:bookmarkEnd w:id="65"/>
    </w:p>
    <w:p>
      <w:pPr>
        <w:pStyle w:val="4"/>
      </w:pPr>
      <w:bookmarkStart w:id="66" w:name="_Toc50050023"/>
      <w:bookmarkStart w:id="67" w:name="_Toc18857"/>
      <w:r>
        <w:rPr>
          <w:rFonts w:hint="eastAsia"/>
        </w:rPr>
        <w:t>室内速度场分布</w:t>
      </w:r>
      <w:bookmarkEnd w:id="66"/>
      <w:bookmarkEnd w:id="67"/>
    </w:p>
    <w:p>
      <w:pPr>
        <w:pStyle w:val="3"/>
        <w:ind w:firstLine="0" w:firstLineChars="0"/>
        <w:jc w:val="center"/>
        <w:rPr>
          <w:rFonts w:ascii="黑体" w:hAnsi="黑体" w:eastAsia="黑体"/>
          <w:lang w:val="en-US"/>
        </w:rPr>
      </w:pPr>
      <w:bookmarkStart w:id="68" w:name="速度云图"/>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p>
    <w:bookmarkEnd w:id="68"/>
    <w:p>
      <w:pPr>
        <w:pStyle w:val="31"/>
        <w:ind w:firstLine="420"/>
        <w:jc w:val="center"/>
        <w:rPr>
          <w:rFonts w:ascii="Times New Roman" w:hAnsi="Times New Roman"/>
          <w:color w:val="auto"/>
          <w:sz w:val="21"/>
          <w:szCs w:val="21"/>
        </w:rPr>
      </w:pPr>
      <w:bookmarkStart w:id="69" w:name="_Toc50050024"/>
      <w:r>
        <w:rPr>
          <w:rFonts w:ascii="Times New Roman" w:hAnsi="Times New Roman"/>
          <w:color w:val="auto"/>
          <w:sz w:val="21"/>
          <w:szCs w:val="21"/>
        </w:rPr>
        <w:t>图6-1 室内速度分布</w:t>
      </w:r>
    </w:p>
    <w:p>
      <w:pPr>
        <w:pStyle w:val="4"/>
      </w:pPr>
      <w:bookmarkStart w:id="70" w:name="_Toc29142"/>
      <w:r>
        <w:rPr>
          <w:rFonts w:hint="eastAsia"/>
        </w:rPr>
        <w:t>室内风速矢量图</w:t>
      </w:r>
      <w:bookmarkEnd w:id="69"/>
      <w:bookmarkEnd w:id="70"/>
    </w:p>
    <w:p>
      <w:pPr>
        <w:pStyle w:val="3"/>
        <w:ind w:firstLine="0" w:firstLineChars="0"/>
        <w:jc w:val="center"/>
        <w:rPr>
          <w:lang w:val="en-US"/>
        </w:rPr>
      </w:pPr>
      <w:bookmarkStart w:id="71" w:name="速度矢量图"/>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p>
    <w:bookmarkEnd w:id="71"/>
    <w:p>
      <w:pPr>
        <w:pStyle w:val="31"/>
        <w:ind w:firstLine="420"/>
        <w:jc w:val="center"/>
        <w:rPr>
          <w:rFonts w:ascii="Times New Roman" w:hAnsi="Times New Roman"/>
          <w:color w:val="auto"/>
          <w:sz w:val="21"/>
          <w:szCs w:val="21"/>
        </w:rPr>
      </w:pPr>
      <w:bookmarkStart w:id="72" w:name="_Toc50050025"/>
      <w:r>
        <w:rPr>
          <w:rFonts w:ascii="Times New Roman" w:hAnsi="Times New Roman"/>
          <w:color w:val="auto"/>
          <w:sz w:val="21"/>
          <w:szCs w:val="21"/>
        </w:rPr>
        <w:t>图6-2 室内风速矢量图</w:t>
      </w:r>
    </w:p>
    <w:p>
      <w:pPr>
        <w:pStyle w:val="4"/>
      </w:pPr>
      <w:bookmarkStart w:id="73" w:name="_Toc27428"/>
      <w:r>
        <w:rPr>
          <w:rFonts w:hint="eastAsia"/>
        </w:rPr>
        <w:t>流线图</w:t>
      </w:r>
      <w:bookmarkEnd w:id="73"/>
    </w:p>
    <w:p>
      <w:pPr>
        <w:pStyle w:val="3"/>
        <w:ind w:firstLine="420"/>
        <w:jc w:val="center"/>
        <w:rPr>
          <w:lang w:val="en-US"/>
        </w:rPr>
      </w:pPr>
      <w:bookmarkStart w:id="74" w:name="流线图"/>
      <w:bookmarkEnd w:id="74"/>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p>
    <w:p>
      <w:pPr>
        <w:pStyle w:val="3"/>
        <w:ind w:firstLine="420"/>
        <w:jc w:val="center"/>
        <w:rPr>
          <w:lang w:val="en-US"/>
        </w:rPr>
      </w:pPr>
      <w:r>
        <w:rPr>
          <w:lang w:val="en-US"/>
        </w:rPr>
        <w:t>图6-3 室内流线图</w:t>
      </w:r>
    </w:p>
    <w:p>
      <w:pPr>
        <w:pStyle w:val="2"/>
        <w:rPr>
          <w:sz w:val="36"/>
          <w:szCs w:val="36"/>
        </w:rPr>
      </w:pPr>
      <w:bookmarkStart w:id="75" w:name="_Toc7086"/>
      <w:r>
        <w:rPr>
          <w:rFonts w:hint="eastAsia"/>
          <w:sz w:val="36"/>
          <w:szCs w:val="36"/>
        </w:rPr>
        <w:t>结论</w:t>
      </w:r>
      <w:bookmarkEnd w:id="72"/>
      <w:bookmarkEnd w:id="75"/>
    </w:p>
    <w:p>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7"/>
    <w:bookmarkEnd w:id="48"/>
    <w:bookmarkEnd w:id="49"/>
    <w:p>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heme="minorEastAsia" w:hAnsiTheme="minorEastAsia" w:eastAsiaTheme="minorEastAsia"/>
        <w:szCs w:val="21"/>
      </w:rPr>
    </w:pP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wOGU5YjBkM2VhZTI5ODRlZDJiNmFiZmE5NTRiZjYifQ=="/>
  </w:docVars>
  <w:rsids>
    <w:rsidRoot w:val="6E9439AD"/>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32DE1F01"/>
    <w:rsid w:val="6E9439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uiPriority w:val="0"/>
    <w:rPr>
      <w:b/>
      <w:bCs/>
      <w:kern w:val="32"/>
      <w:sz w:val="28"/>
      <w:szCs w:val="28"/>
    </w:rPr>
  </w:style>
  <w:style w:type="character" w:customStyle="1" w:styleId="29">
    <w:name w:val="标题 2 字符"/>
    <w:link w:val="4"/>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6" Type="http://schemas.openxmlformats.org/officeDocument/2006/relationships/fontTable" Target="fontTable.xml"/><Relationship Id="rId75" Type="http://schemas.openxmlformats.org/officeDocument/2006/relationships/customXml" Target="../customXml/item1.xml"/><Relationship Id="rId74" Type="http://schemas.openxmlformats.org/officeDocument/2006/relationships/numbering" Target="numbering.xml"/><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4424\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tmp1.dotx</Template>
  <Pages>22</Pages>
  <Words>1674</Words>
  <Characters>1881</Characters>
  <Lines>18</Lines>
  <Paragraphs>5</Paragraphs>
  <TotalTime>2</TotalTime>
  <ScaleCrop>false</ScaleCrop>
  <LinksUpToDate>false</LinksUpToDate>
  <CharactersWithSpaces>1992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2024-12-28T14:30:00Z</dcterms:created>
  <dc:creator>企业用户_794787227</dc:creator>
  <cp:lastModifiedBy>企业用户_794787227</cp:lastModifiedBy>
  <dcterms:modified xsi:type="dcterms:W3CDTF">2024-12-28T14:33:10Z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838903C6BC224470B331A374E42F978F_11</vt:lpwstr>
  </property>
  <property fmtid="{D5CDD505-2E9C-101B-9397-08002B2CF9AE}" pid="3" name="KSOProductBuildVer">
    <vt:lpwstr>2052-12.1.0.16120</vt:lpwstr>
  </property>
</Properties>
</file>