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outlineLvl w:val="9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T13253137540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_Toc2615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_Toc3394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_Toc3394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_Toc32301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_Toc32301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_Toc31990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_Toc31990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_Toc3305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_Toc3305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_Toc30039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_Toc30039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_Toc31657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_Toc31657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_Toc20630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_Toc20630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_Toc26136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_Toc17637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_Toc17637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_Toc30192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_Toc14372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_Toc30841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_Toc19928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_Toc18710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_Toc27134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_Toc330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_Toc30600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_Toc8666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_Toc30577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_Toc17905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地下墙构造一</w:t>
      </w:r>
      <w:r>
        <w:tab/>
      </w:r>
      <w:r>
        <w:fldChar w:fldCharType="begin"/>
      </w:r>
      <w:r>
        <w:instrText xml:space="preserve"> PAGEREF _Toc17877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_Toc14449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_Toc11378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_Toc11378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_Toc17632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_Toc17632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_Toc22134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_Toc10374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_Toc6031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_Toc6031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_Toc28091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_Toc18574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_Toc2686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_Toc20005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_Toc9405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_Toc17024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_Toc12800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_Toc16594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2615"/>
      <w:bookmarkStart w:id="12" w:name="_Toc494471704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重庆-重庆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夏热冬冷A区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29.58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106.47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新建项目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15796.04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611.62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14.40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3" w:name="地下建筑层数"/>
            <w:r>
              <w:t>1</w:t>
            </w:r>
            <w:bookmarkEnd w:id="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>
      <w:pPr>
        <w:pStyle w:val="2"/>
      </w:pPr>
      <w:bookmarkStart w:id="25" w:name="_Toc3394"/>
      <w:r>
        <w:rPr>
          <w:rFonts w:hint="eastAsia"/>
        </w:rPr>
        <w:t>气象</w:t>
      </w:r>
      <w:r>
        <w:t>数据</w:t>
      </w:r>
      <w:bookmarkEnd w:id="25"/>
    </w:p>
    <w:p>
      <w:pPr>
        <w:pStyle w:val="4"/>
      </w:pPr>
      <w:bookmarkStart w:id="26" w:name="_Toc32301"/>
      <w:r>
        <w:rPr>
          <w:rFonts w:hint="eastAsia"/>
        </w:rPr>
        <w:t>气象地点</w:t>
      </w:r>
      <w:bookmarkEnd w:id="26"/>
    </w:p>
    <w:p>
      <w:pPr>
        <w:pStyle w:val="3"/>
        <w:ind w:firstLine="420"/>
        <w:rPr>
          <w:lang w:val="en-US"/>
        </w:rPr>
      </w:pPr>
      <w:bookmarkStart w:id="27" w:name="气象数据来源"/>
      <w:r>
        <w:t>重庆-重庆, 《建筑节能气象参数标准》JGJ346-2014</w:t>
      </w:r>
      <w:bookmarkEnd w:id="27"/>
    </w:p>
    <w:p>
      <w:pPr>
        <w:pStyle w:val="4"/>
      </w:pPr>
      <w:bookmarkStart w:id="28" w:name="_Toc31990"/>
      <w:r>
        <w:rPr>
          <w:rFonts w:hint="eastAsia"/>
        </w:rPr>
        <w:t>逐</w:t>
      </w:r>
      <w:r>
        <w:t>日干球温度表</w:t>
      </w:r>
      <w:bookmarkEnd w:id="28"/>
    </w:p>
    <w:p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6003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0" w:name="日最小干球温度变化表"/>
      <w:bookmarkEnd w:id="30"/>
      <w:bookmarkStart w:id="31" w:name="_Toc3305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343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3" w:name="_Toc30039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08月05日17时</w:t>
            </w:r>
          </w:p>
        </w:tc>
        <w:tc>
          <w:tcPr>
            <w:vAlign w:val="center"/>
          </w:tcPr>
          <w:p>
            <w:r>
              <w:t>38.9</w:t>
            </w:r>
          </w:p>
        </w:tc>
        <w:tc>
          <w:tcPr>
            <w:vAlign w:val="center"/>
          </w:tcPr>
          <w:p>
            <w:r>
              <w:t>25.6</w:t>
            </w:r>
          </w:p>
        </w:tc>
        <w:tc>
          <w:tcPr>
            <w:vAlign w:val="center"/>
          </w:tcPr>
          <w:p>
            <w:r>
              <w:t>16.3</w:t>
            </w:r>
          </w:p>
        </w:tc>
        <w:tc>
          <w:tcPr>
            <w:vAlign w:val="center"/>
          </w:tcPr>
          <w:p>
            <w: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12月13日05时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3.7</w:t>
            </w:r>
          </w:p>
        </w:tc>
        <w:tc>
          <w:tcPr>
            <w:vAlign w:val="center"/>
          </w:tcPr>
          <w:p>
            <w:r>
              <w:t>9.3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4" w:name="气象峰值工况"/>
      <w:bookmarkEnd w:id="34"/>
    </w:p>
    <w:p>
      <w:pPr>
        <w:pStyle w:val="2"/>
      </w:pPr>
      <w:bookmarkStart w:id="35" w:name="_Toc31657"/>
      <w:r>
        <w:rPr>
          <w:rFonts w:hint="eastAsia"/>
        </w:rPr>
        <w:t>软件介绍</w:t>
      </w:r>
      <w:bookmarkEnd w:id="35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</w:t>
      </w:r>
      <w:bookmarkStart w:id="67" w:name="_GoBack"/>
      <w:r>
        <w:rPr>
          <w:rFonts w:hint="eastAsia"/>
        </w:rPr>
        <w:t>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bookmarkEnd w:id="67"/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7" w:name="_Toc20630"/>
      <w:r>
        <w:rPr>
          <w:rFonts w:hint="eastAsia"/>
        </w:rPr>
        <w:t>围护</w:t>
      </w:r>
      <w:r>
        <w:t>结构</w:t>
      </w:r>
      <w:bookmarkEnd w:id="37"/>
    </w:p>
    <w:p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26136"/>
      <w:r>
        <w:rPr>
          <w:kern w:val="2"/>
          <w:szCs w:val="24"/>
          <w:lang w:val="en-US"/>
        </w:rPr>
        <w:t>屋顶构造</w:t>
      </w:r>
      <w:bookmarkEnd w:id="39"/>
    </w:p>
    <w:p>
      <w:pPr>
        <w:pStyle w:val="5"/>
        <w:widowControl w:val="0"/>
        <w:rPr>
          <w:kern w:val="2"/>
          <w:szCs w:val="24"/>
          <w:lang w:val="en-US"/>
        </w:rPr>
      </w:pPr>
      <w:bookmarkStart w:id="40" w:name="_Toc17637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333.5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9.264</w:t>
            </w:r>
          </w:p>
        </w:tc>
        <w:tc>
          <w:tcPr>
            <w:vAlign w:val="center"/>
          </w:tcPr>
          <w:p>
            <w:r>
              <w:t>3.780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613.5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9.850</w:t>
            </w:r>
          </w:p>
        </w:tc>
        <w:tc>
          <w:tcPr>
            <w:vAlign w:val="center"/>
          </w:tcPr>
          <w:p>
            <w:r>
              <w:t>7.244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1" w:name="_Toc30192"/>
      <w:r>
        <w:rPr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  <w:lang w:val="en-US"/>
        </w:rPr>
      </w:pPr>
      <w:bookmarkStart w:id="42" w:name="_Toc14372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168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4.667</w:t>
            </w:r>
          </w:p>
        </w:tc>
        <w:tc>
          <w:tcPr>
            <w:vAlign w:val="center"/>
          </w:tcPr>
          <w:p>
            <w:r>
              <w:t>1.904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4.849</w:t>
            </w:r>
          </w:p>
        </w:tc>
        <w:tc>
          <w:tcPr>
            <w:vAlign w:val="center"/>
          </w:tcPr>
          <w:p>
            <w:r>
              <w:t>4.619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3" w:name="_Toc30841"/>
      <w:r>
        <w:rPr>
          <w:kern w:val="2"/>
          <w:szCs w:val="24"/>
          <w:lang w:val="en-US"/>
        </w:rPr>
        <w:t>挑空楼板构造</w:t>
      </w:r>
      <w:bookmarkEnd w:id="43"/>
    </w:p>
    <w:p>
      <w:pPr>
        <w:pStyle w:val="5"/>
        <w:widowControl w:val="0"/>
        <w:rPr>
          <w:kern w:val="2"/>
          <w:szCs w:val="24"/>
          <w:lang w:val="en-US"/>
        </w:rPr>
      </w:pPr>
      <w:bookmarkStart w:id="44" w:name="_Toc19928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5" w:name="_Toc18710"/>
      <w:r>
        <w:rPr>
          <w:kern w:val="2"/>
          <w:szCs w:val="24"/>
          <w:lang w:val="en-US"/>
        </w:rPr>
        <w:t>楼板构造</w:t>
      </w:r>
      <w:bookmarkEnd w:id="45"/>
    </w:p>
    <w:p>
      <w:pPr>
        <w:pStyle w:val="5"/>
        <w:widowControl w:val="0"/>
        <w:rPr>
          <w:kern w:val="2"/>
          <w:szCs w:val="24"/>
          <w:lang w:val="en-US"/>
        </w:rPr>
      </w:pPr>
      <w:bookmarkStart w:id="46" w:name="_Toc27134"/>
      <w:r>
        <w:rPr>
          <w:kern w:val="2"/>
          <w:szCs w:val="24"/>
          <w:lang w:val="en-US"/>
        </w:rPr>
        <w:t>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558.5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0.690</w:t>
            </w:r>
          </w:p>
        </w:tc>
        <w:tc>
          <w:tcPr>
            <w:vAlign w:val="center"/>
          </w:tcPr>
          <w:p>
            <w:r>
              <w:t>6.943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698.5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0.780</w:t>
            </w:r>
          </w:p>
        </w:tc>
        <w:tc>
          <w:tcPr>
            <w:vAlign w:val="center"/>
          </w:tcPr>
          <w:p>
            <w:r>
              <w:t>8.374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7" w:name="_Toc330"/>
      <w:r>
        <w:rPr>
          <w:kern w:val="2"/>
          <w:szCs w:val="24"/>
          <w:lang w:val="en-US"/>
        </w:rPr>
        <w:t>周边地面构造</w:t>
      </w:r>
      <w:bookmarkEnd w:id="47"/>
    </w:p>
    <w:p>
      <w:pPr>
        <w:pStyle w:val="5"/>
        <w:widowControl w:val="0"/>
        <w:rPr>
          <w:kern w:val="2"/>
          <w:szCs w:val="24"/>
          <w:lang w:val="en-US"/>
        </w:rPr>
      </w:pPr>
      <w:bookmarkStart w:id="48" w:name="_Toc30600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9" w:name="_Toc8666"/>
      <w:r>
        <w:rPr>
          <w:kern w:val="2"/>
          <w:szCs w:val="24"/>
          <w:lang w:val="en-US"/>
        </w:rPr>
        <w:t>非周边地面构造</w:t>
      </w:r>
      <w:bookmarkEnd w:id="49"/>
    </w:p>
    <w:p>
      <w:pPr>
        <w:pStyle w:val="5"/>
        <w:widowControl w:val="0"/>
        <w:rPr>
          <w:kern w:val="2"/>
          <w:szCs w:val="24"/>
          <w:lang w:val="en-US"/>
        </w:rPr>
      </w:pPr>
      <w:bookmarkStart w:id="50" w:name="_Toc30577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1" w:name="_Toc17905"/>
      <w:r>
        <w:rPr>
          <w:kern w:val="2"/>
          <w:szCs w:val="24"/>
          <w:lang w:val="en-US"/>
        </w:rPr>
        <w:t>地下墙构造</w:t>
      </w:r>
      <w:bookmarkEnd w:id="51"/>
    </w:p>
    <w:p>
      <w:pPr>
        <w:pStyle w:val="5"/>
        <w:widowControl w:val="0"/>
        <w:rPr>
          <w:kern w:val="2"/>
          <w:szCs w:val="24"/>
          <w:lang w:val="en-US"/>
        </w:rPr>
      </w:pPr>
      <w:bookmarkStart w:id="52" w:name="_Toc17877"/>
      <w:r>
        <w:rPr>
          <w:kern w:val="2"/>
          <w:szCs w:val="24"/>
          <w:lang w:val="en-US"/>
        </w:rPr>
        <w:t>地下墙构造一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2.226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4.01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3" w:name="_Toc14449"/>
      <w:r>
        <w:rPr>
          <w:kern w:val="2"/>
          <w:szCs w:val="24"/>
          <w:lang w:val="en-US"/>
        </w:rPr>
        <w:t>门构造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/>
        </w:tc>
      </w:tr>
    </w:tbl>
    <w:p>
      <w:pPr>
        <w:pStyle w:val="4"/>
      </w:pPr>
      <w:bookmarkStart w:id="54" w:name="_Toc11378"/>
      <w:r>
        <w:t>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0.751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0.751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2"/>
      </w:pPr>
      <w:bookmarkStart w:id="55" w:name="_Toc17632"/>
      <w:r>
        <w:t>房间类型</w:t>
      </w:r>
      <w:bookmarkEnd w:id="55"/>
    </w:p>
    <w:p>
      <w:pPr>
        <w:pStyle w:val="4"/>
        <w:widowControl w:val="0"/>
        <w:rPr>
          <w:kern w:val="2"/>
          <w:szCs w:val="24"/>
          <w:lang w:val="en-US"/>
        </w:rPr>
      </w:pPr>
      <w:bookmarkStart w:id="56" w:name="_Toc22134"/>
      <w:r>
        <w:rPr>
          <w:kern w:val="2"/>
          <w:szCs w:val="24"/>
          <w:lang w:val="en-US"/>
        </w:rPr>
        <w:t>房间参数表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开架书库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收发室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7" w:name="_Toc10374"/>
      <w:r>
        <w:rPr>
          <w:kern w:val="2"/>
          <w:szCs w:val="24"/>
          <w:lang w:val="en-US"/>
        </w:rPr>
        <w:t>作息时间表</w:t>
      </w:r>
      <w:bookmarkEnd w:id="57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8" w:name="_Toc6031"/>
      <w:r>
        <w:rPr>
          <w:kern w:val="2"/>
          <w:szCs w:val="24"/>
          <w:lang w:val="en-US"/>
        </w:rPr>
        <w:t>系统设置</w:t>
      </w:r>
      <w:bookmarkEnd w:id="58"/>
    </w:p>
    <w:p>
      <w:pPr>
        <w:pStyle w:val="4"/>
        <w:widowControl w:val="0"/>
        <w:rPr>
          <w:kern w:val="2"/>
          <w:szCs w:val="24"/>
          <w:lang w:val="en-US"/>
        </w:rPr>
      </w:pPr>
      <w:bookmarkStart w:id="59" w:name="_Toc28091"/>
      <w:r>
        <w:rPr>
          <w:kern w:val="2"/>
          <w:szCs w:val="24"/>
          <w:lang w:val="en-US"/>
        </w:rPr>
        <w:t>系统划分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>
            <w:r>
              <w:t>冷:0.50, 暖:0.55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18215.39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60" w:name="_Toc18574"/>
      <w:r>
        <w:rPr>
          <w:kern w:val="2"/>
          <w:szCs w:val="24"/>
          <w:lang w:val="en-US"/>
        </w:rPr>
        <w:t>运行时间表</w:t>
      </w:r>
      <w:bookmarkEnd w:id="60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61" w:name="_Toc2686"/>
      <w:r>
        <w:rPr>
          <w:kern w:val="2"/>
          <w:szCs w:val="24"/>
          <w:lang w:val="en-US"/>
        </w:rPr>
        <w:t>计算结果</w:t>
      </w:r>
      <w:bookmarkEnd w:id="61"/>
    </w:p>
    <w:p>
      <w:pPr>
        <w:pStyle w:val="4"/>
        <w:widowControl w:val="0"/>
        <w:rPr>
          <w:kern w:val="2"/>
          <w:szCs w:val="24"/>
          <w:lang w:val="en-US"/>
        </w:rPr>
      </w:pPr>
      <w:bookmarkStart w:id="62" w:name="_Toc20005"/>
      <w:r>
        <w:rPr>
          <w:kern w:val="2"/>
          <w:szCs w:val="24"/>
          <w:lang w:val="en-US"/>
        </w:rPr>
        <w:t>模拟周期</w:t>
      </w:r>
      <w:bookmarkEnd w:id="62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>
      <w:pPr>
        <w:pStyle w:val="4"/>
        <w:widowControl w:val="0"/>
        <w:rPr>
          <w:kern w:val="2"/>
          <w:szCs w:val="24"/>
          <w:lang w:val="en-US"/>
        </w:rPr>
      </w:pPr>
      <w:bookmarkStart w:id="63" w:name="_Toc9405"/>
      <w:r>
        <w:rPr>
          <w:kern w:val="2"/>
          <w:szCs w:val="24"/>
          <w:lang w:val="en-US"/>
        </w:rPr>
        <w:t>全年冷暖需求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vAlign w:val="center"/>
          </w:tcPr>
          <w:p>
            <w:r>
              <w:t>19133</w:t>
            </w:r>
          </w:p>
        </w:tc>
        <w:tc>
          <w:tcPr>
            <w:vAlign w:val="center"/>
          </w:tcPr>
          <w:p>
            <w:r>
              <w:t>1.17</w:t>
            </w:r>
          </w:p>
        </w:tc>
        <w:tc>
          <w:tcPr>
            <w:vAlign w:val="center"/>
          </w:tcPr>
          <w:p>
            <w:r>
              <w:t>1863700</w:t>
            </w:r>
          </w:p>
        </w:tc>
        <w:tc>
          <w:tcPr>
            <w:vAlign w:val="center"/>
          </w:tcPr>
          <w:p>
            <w:r>
              <w:t>113.59</w:t>
            </w:r>
          </w:p>
        </w:tc>
      </w:tr>
    </w:tbl>
    <w:p>
      <w:r>
        <w:drawing>
          <wp:inline distT="0" distB="0" distL="0" distR="0">
            <wp:extent cx="5667375" cy="24574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  <w:szCs w:val="24"/>
          <w:lang w:val="en-US"/>
        </w:rPr>
      </w:pPr>
      <w:bookmarkStart w:id="64" w:name="_Toc17024"/>
      <w:r>
        <w:rPr>
          <w:kern w:val="2"/>
          <w:szCs w:val="24"/>
          <w:lang w:val="en-US"/>
        </w:rPr>
        <w:t>负荷分项统计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-2.04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-1.13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-1.17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t>52.30</w:t>
            </w:r>
          </w:p>
        </w:tc>
        <w:tc>
          <w:tcPr>
            <w:vAlign w:val="center"/>
          </w:tcPr>
          <w:p>
            <w:r>
              <w:t>18.49</w:t>
            </w:r>
          </w:p>
        </w:tc>
        <w:tc>
          <w:tcPr>
            <w:vAlign w:val="center"/>
          </w:tcPr>
          <w:p>
            <w:r>
              <w:t>18.99</w:t>
            </w:r>
          </w:p>
        </w:tc>
        <w:tc>
          <w:tcPr>
            <w:vAlign w:val="center"/>
          </w:tcPr>
          <w:p>
            <w:r>
              <w:t>-3.80</w:t>
            </w:r>
          </w:p>
        </w:tc>
        <w:tc>
          <w:tcPr>
            <w:vAlign w:val="center"/>
          </w:tcPr>
          <w:p>
            <w:r>
              <w:t>113.59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65" w:name="_Toc12800"/>
      <w:r>
        <w:t>逐月负荷表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126.762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184.579</w:t>
            </w:r>
          </w:p>
        </w:tc>
        <w:tc>
          <w:tcPr>
            <w:vAlign w:val="center"/>
          </w:tcPr>
          <w:p>
            <w:r>
              <w:t>1月31日15时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21427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73.685</w:t>
            </w:r>
          </w:p>
        </w:tc>
        <w:tc>
          <w:tcPr>
            <w:vAlign w:val="center"/>
          </w:tcPr>
          <w:p>
            <w:r>
              <w:t>2月14日7时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293.276</w:t>
            </w:r>
          </w:p>
        </w:tc>
        <w:tc>
          <w:tcPr>
            <w:vAlign w:val="center"/>
          </w:tcPr>
          <w:p>
            <w:r>
              <w:t>2月21日15时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96675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54.608</w:t>
            </w:r>
          </w:p>
        </w:tc>
        <w:tc>
          <w:tcPr>
            <w:vAlign w:val="center"/>
          </w:tcPr>
          <w:p>
            <w:r>
              <w:t>3月11日7时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853.031</w:t>
            </w:r>
          </w:p>
        </w:tc>
        <w:tc>
          <w:tcPr>
            <w:vAlign w:val="center"/>
          </w:tcPr>
          <w:p>
            <w:r>
              <w:t>3月22日15时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67.093</w:t>
            </w:r>
          </w:p>
        </w:tc>
        <w:tc>
          <w:tcPr>
            <w:vAlign w:val="center"/>
          </w:tcPr>
          <w:p>
            <w:r>
              <w:t>4月8日7时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858.006</w:t>
            </w:r>
          </w:p>
        </w:tc>
        <w:tc>
          <w:tcPr>
            <w:vAlign w:val="center"/>
          </w:tcPr>
          <w:p>
            <w:r>
              <w:t>4月30日14时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211843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36.198</w:t>
            </w:r>
          </w:p>
        </w:tc>
        <w:tc>
          <w:tcPr>
            <w:vAlign w:val="center"/>
          </w:tcPr>
          <w:p>
            <w:r>
              <w:t>5月2日7时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1296.659</w:t>
            </w:r>
          </w:p>
        </w:tc>
        <w:tc>
          <w:tcPr>
            <w:vAlign w:val="center"/>
          </w:tcPr>
          <w:p>
            <w:r>
              <w:t>5月27日8时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231906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9.809</w:t>
            </w:r>
          </w:p>
        </w:tc>
        <w:tc>
          <w:tcPr>
            <w:vAlign w:val="center"/>
          </w:tcPr>
          <w:p>
            <w:r>
              <w:t>6月3日7时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1516.256</w:t>
            </w:r>
          </w:p>
        </w:tc>
        <w:tc>
          <w:tcPr>
            <w:vAlign w:val="center"/>
          </w:tcPr>
          <w:p>
            <w:r>
              <w:t>6月24日8时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5.622</w:t>
            </w:r>
          </w:p>
        </w:tc>
        <w:tc>
          <w:tcPr>
            <w:vAlign w:val="center"/>
          </w:tcPr>
          <w:p>
            <w:r>
              <w:t>7月1日7时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1962.503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7月15日8时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311402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1910.588</w:t>
            </w:r>
          </w:p>
        </w:tc>
        <w:tc>
          <w:tcPr>
            <w:vAlign w:val="center"/>
          </w:tcPr>
          <w:p>
            <w:r>
              <w:t>8月5日8时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262801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1797.981</w:t>
            </w:r>
          </w:p>
        </w:tc>
        <w:tc>
          <w:tcPr>
            <w:vAlign w:val="center"/>
          </w:tcPr>
          <w:p>
            <w:r>
              <w:t>9月9日8时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174079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1512.085</w:t>
            </w:r>
          </w:p>
        </w:tc>
        <w:tc>
          <w:tcPr>
            <w:vAlign w:val="center"/>
          </w:tcPr>
          <w:p>
            <w:r>
              <w:t>10月7日8时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70576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8.507</w:t>
            </w:r>
          </w:p>
        </w:tc>
        <w:tc>
          <w:tcPr>
            <w:vAlign w:val="center"/>
          </w:tcPr>
          <w:p>
            <w:r>
              <w:t>11月18日7时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886.836</w:t>
            </w:r>
          </w:p>
        </w:tc>
        <w:tc>
          <w:tcPr>
            <w:vAlign w:val="center"/>
          </w:tcPr>
          <w:p>
            <w:r>
              <w:t>11月4日14时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22742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33.428</w:t>
            </w:r>
          </w:p>
        </w:tc>
        <w:tc>
          <w:tcPr>
            <w:vAlign w:val="center"/>
          </w:tcPr>
          <w:p>
            <w:r>
              <w:t>12月16日7时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389.499</w:t>
            </w:r>
          </w:p>
        </w:tc>
        <w:tc>
          <w:tcPr>
            <w:vAlign w:val="center"/>
          </w:tcPr>
          <w:p>
            <w:r>
              <w:t>12月2日13时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  <w:lang w:val="en-US"/>
        </w:rPr>
      </w:pPr>
      <w:bookmarkStart w:id="66" w:name="_Toc16594"/>
      <w:r>
        <w:rPr>
          <w:kern w:val="2"/>
          <w:szCs w:val="24"/>
          <w:lang w:val="en-US"/>
        </w:rPr>
        <w:t>附录</w:t>
      </w:r>
      <w:bookmarkEnd w:id="66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Y2I0MDkxOTdjM2JmYTlkYzRjODYxZTdkYzVlNDEifQ=="/>
  </w:docVars>
  <w:rsids>
    <w:rsidRoot w:val="5C874417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5A7204EE"/>
    <w:rsid w:val="5C87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autoRedefine/>
    <w:qFormat/>
    <w:uiPriority w:val="0"/>
    <w:rPr>
      <w:color w:val="0000FF"/>
      <w:u w:val="single"/>
    </w:rPr>
  </w:style>
  <w:style w:type="character" w:customStyle="1" w:styleId="22">
    <w:name w:val="标题 1 Char"/>
    <w:link w:val="2"/>
    <w:autoRedefine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14</Pages>
  <Words>5199</Words>
  <Characters>8621</Characters>
  <Lines>11</Lines>
  <Paragraphs>3</Paragraphs>
  <TotalTime>0</TotalTime>
  <ScaleCrop>false</ScaleCrop>
  <LinksUpToDate>false</LinksUpToDate>
  <CharactersWithSpaces>8662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2024-12-24T14:57:00Z</dcterms:created>
  <dc:creator>c</dc:creator>
  <cp:lastModifiedBy>c</cp:lastModifiedBy>
  <dcterms:modified xsi:type="dcterms:W3CDTF">2024-12-25T17:19:48Z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A4BA6449A128400D82DA856E394F60CB_11</vt:lpwstr>
  </property>
  <property fmtid="{D5CDD505-2E9C-101B-9397-08002B2CF9AE}" pid="3" name="KSOProductBuildVer">
    <vt:lpwstr>2052-12.1.0.16417</vt:lpwstr>
  </property>
</Properties>
</file>