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87" w:name="_GoBack"/>
      <w:bookmarkEnd w:id="87"/>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室内热湿</w:t>
      </w:r>
      <w:r>
        <w:rPr>
          <w:rFonts w:ascii="黑体" w:hAnsi="宋体" w:eastAsia="黑体"/>
          <w:b/>
          <w:bCs/>
          <w:sz w:val="72"/>
          <w:szCs w:val="72"/>
        </w:rPr>
        <w:t>环境</w:t>
      </w:r>
      <w:r>
        <w:rPr>
          <w:rFonts w:hint="eastAsia" w:ascii="黑体" w:hAnsi="宋体" w:eastAsia="黑体"/>
          <w:b/>
          <w:bCs/>
          <w:sz w:val="72"/>
          <w:szCs w:val="72"/>
        </w:rPr>
        <w:t>评价报告书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云南-红河-蒙自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保山学院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保山学院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2025年03月13日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T19187265563</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_Toc24942 </w:instrText>
      </w:r>
      <w:r>
        <w:rPr>
          <w:rFonts w:ascii="宋体" w:hAnsi="宋体"/>
          <w:bCs w:val="0"/>
          <w:caps/>
        </w:rPr>
        <w:fldChar w:fldCharType="separate"/>
      </w:r>
      <w:r>
        <w:rPr>
          <w:rFonts w:hint="eastAsia"/>
        </w:rPr>
        <w:t>1 项目概况</w:t>
      </w:r>
      <w:r>
        <w:tab/>
      </w:r>
      <w:r>
        <w:fldChar w:fldCharType="begin"/>
      </w:r>
      <w:r>
        <w:instrText xml:space="preserve"> PAGEREF _Toc24942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_Toc2332 </w:instrText>
      </w:r>
      <w:r>
        <w:fldChar w:fldCharType="separate"/>
      </w:r>
      <w:r>
        <w:rPr>
          <w:rFonts w:hint="eastAsia"/>
          <w:lang w:val="en-GB"/>
        </w:rPr>
        <w:t xml:space="preserve">1.1 </w:t>
      </w:r>
      <w:r>
        <w:t>平面图</w:t>
      </w:r>
      <w:r>
        <w:tab/>
      </w:r>
      <w:r>
        <w:fldChar w:fldCharType="begin"/>
      </w:r>
      <w:r>
        <w:instrText xml:space="preserve"> PAGEREF _Toc2332 \h </w:instrText>
      </w:r>
      <w:r>
        <w:fldChar w:fldCharType="separate"/>
      </w:r>
      <w:r>
        <w:t>4</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_Toc4240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_Toc4240 \h </w:instrText>
      </w:r>
      <w:r>
        <w:fldChar w:fldCharType="separate"/>
      </w:r>
      <w:r>
        <w:t>9</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_Toc21678 </w:instrText>
      </w:r>
      <w:r>
        <w:fldChar w:fldCharType="separate"/>
      </w:r>
      <w:r>
        <w:rPr>
          <w:rFonts w:hint="eastAsia"/>
        </w:rPr>
        <w:t>2 计算</w:t>
      </w:r>
      <w:r>
        <w:t>依据</w:t>
      </w:r>
      <w:r>
        <w:tab/>
      </w:r>
      <w:r>
        <w:fldChar w:fldCharType="begin"/>
      </w:r>
      <w:r>
        <w:instrText xml:space="preserve"> PAGEREF _Toc21678 \h </w:instrText>
      </w:r>
      <w:r>
        <w:fldChar w:fldCharType="separate"/>
      </w:r>
      <w:r>
        <w:t>10</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_Toc14102 </w:instrText>
      </w:r>
      <w:r>
        <w:fldChar w:fldCharType="separate"/>
      </w:r>
      <w:r>
        <w:rPr>
          <w:rFonts w:hint="eastAsia"/>
        </w:rPr>
        <w:t>3 参考</w:t>
      </w:r>
      <w:r>
        <w:t>标准</w:t>
      </w:r>
      <w:r>
        <w:tab/>
      </w:r>
      <w:r>
        <w:fldChar w:fldCharType="begin"/>
      </w:r>
      <w:r>
        <w:instrText xml:space="preserve"> PAGEREF _Toc14102 \h </w:instrText>
      </w:r>
      <w:r>
        <w:fldChar w:fldCharType="separate"/>
      </w:r>
      <w:r>
        <w:t>10</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_Toc2310 </w:instrText>
      </w:r>
      <w:r>
        <w:fldChar w:fldCharType="separate"/>
      </w:r>
      <w:r>
        <w:rPr>
          <w:rFonts w:hint="eastAsia"/>
        </w:rPr>
        <w:t>4 室内热湿环境整体评价指标PMV与PPD计算方法</w:t>
      </w:r>
      <w:r>
        <w:tab/>
      </w:r>
      <w:r>
        <w:fldChar w:fldCharType="begin"/>
      </w:r>
      <w:r>
        <w:instrText xml:space="preserve"> PAGEREF _Toc2310 \h </w:instrText>
      </w:r>
      <w:r>
        <w:fldChar w:fldCharType="separate"/>
      </w:r>
      <w:r>
        <w:t>10</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_Toc22381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_Toc22381 \h </w:instrText>
      </w:r>
      <w:r>
        <w:fldChar w:fldCharType="separate"/>
      </w:r>
      <w:r>
        <w:t>10</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_Toc20611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_Toc20611 \h </w:instrText>
      </w:r>
      <w:r>
        <w:fldChar w:fldCharType="separate"/>
      </w:r>
      <w:r>
        <w:t>10</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_Toc26004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_Toc26004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_Toc24021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_Toc24021 \h </w:instrText>
      </w:r>
      <w:r>
        <w:fldChar w:fldCharType="separate"/>
      </w:r>
      <w:r>
        <w:t>11</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_Toc25953 </w:instrText>
      </w:r>
      <w:r>
        <w:fldChar w:fldCharType="separate"/>
      </w:r>
      <w:r>
        <w:rPr>
          <w:rFonts w:hint="eastAsia"/>
          <w:lang w:val="en-GB"/>
        </w:rPr>
        <w:t xml:space="preserve">4.2 </w:t>
      </w:r>
      <w:r>
        <w:rPr>
          <w:rFonts w:hint="eastAsia"/>
        </w:rPr>
        <w:t>PMV-PPD</w:t>
      </w:r>
      <w:r>
        <w:t>指标</w:t>
      </w:r>
      <w:r>
        <w:rPr>
          <w:rFonts w:hint="eastAsia"/>
        </w:rPr>
        <w:t>计算</w:t>
      </w:r>
      <w:r>
        <w:tab/>
      </w:r>
      <w:r>
        <w:fldChar w:fldCharType="begin"/>
      </w:r>
      <w:r>
        <w:instrText xml:space="preserve"> PAGEREF _Toc25953 \h </w:instrText>
      </w:r>
      <w:r>
        <w:fldChar w:fldCharType="separate"/>
      </w:r>
      <w:r>
        <w:t>12</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_Toc31171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_Toc31171 \h </w:instrText>
      </w:r>
      <w:r>
        <w:fldChar w:fldCharType="separate"/>
      </w:r>
      <w:r>
        <w:t>13</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_Toc1979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_Toc1979 \h </w:instrText>
      </w:r>
      <w:r>
        <w:fldChar w:fldCharType="separate"/>
      </w:r>
      <w:r>
        <w:t>13</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_Toc22499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_Toc22499 \h </w:instrText>
      </w:r>
      <w:r>
        <w:fldChar w:fldCharType="separate"/>
      </w:r>
      <w:r>
        <w:t>14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_Toc9965 </w:instrText>
      </w:r>
      <w:r>
        <w:fldChar w:fldCharType="separate"/>
      </w:r>
      <w:r>
        <w:rPr>
          <w:rFonts w:hint="eastAsia"/>
        </w:rPr>
        <w:t>5 室内热湿环境局部评价</w:t>
      </w:r>
      <w:r>
        <w:t>指标</w:t>
      </w:r>
      <w:r>
        <w:rPr>
          <w:rFonts w:hint="eastAsia"/>
        </w:rPr>
        <w:t>计算方法</w:t>
      </w:r>
      <w:r>
        <w:tab/>
      </w:r>
      <w:r>
        <w:fldChar w:fldCharType="begin"/>
      </w:r>
      <w:r>
        <w:instrText xml:space="preserve"> PAGEREF _Toc9965 \h </w:instrText>
      </w:r>
      <w:r>
        <w:fldChar w:fldCharType="separate"/>
      </w:r>
      <w:r>
        <w:t>14</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_Toc12860 </w:instrText>
      </w:r>
      <w:r>
        <w:fldChar w:fldCharType="separate"/>
      </w:r>
      <w:r>
        <w:rPr>
          <w:rFonts w:hint="eastAsia" w:eastAsia="宋体" w:asciiTheme="minorEastAsia" w:hAnsiTheme="minorEastAsia"/>
          <w:szCs w:val="24"/>
          <w:lang w:val="en-GB"/>
        </w:rPr>
        <w:t xml:space="preserve">5.1.1 </w:t>
      </w:r>
      <w:r>
        <w:rPr>
          <w:rFonts w:hint="eastAsia" w:asciiTheme="minorEastAsia" w:hAnsiTheme="minorEastAsia" w:eastAsiaTheme="minorEastAsia"/>
        </w:rPr>
        <w:t>冷吹风感局部不满意率LPD1计算公式</w:t>
      </w:r>
      <w:r>
        <w:tab/>
      </w:r>
      <w:r>
        <w:fldChar w:fldCharType="begin"/>
      </w:r>
      <w:r>
        <w:instrText xml:space="preserve"> PAGEREF _Toc12860 \h </w:instrText>
      </w:r>
      <w:r>
        <w:fldChar w:fldCharType="separate"/>
      </w:r>
      <w:r>
        <w:t>14</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_Toc16954 </w:instrText>
      </w:r>
      <w:r>
        <w:fldChar w:fldCharType="separate"/>
      </w:r>
      <w:r>
        <w:rPr>
          <w:rFonts w:hint="eastAsia" w:eastAsia="宋体" w:asciiTheme="minorEastAsia" w:hAnsiTheme="minorEastAsia"/>
          <w:szCs w:val="24"/>
          <w:lang w:val="en-GB"/>
        </w:rPr>
        <w:t xml:space="preserve">5.1.2 </w:t>
      </w:r>
      <w:r>
        <w:rPr>
          <w:rFonts w:hint="eastAsia" w:asciiTheme="minorEastAsia" w:hAnsiTheme="minorEastAsia" w:eastAsiaTheme="minorEastAsia"/>
        </w:rPr>
        <w:t>垂直空气温度差不满意率LPD2计算公式</w:t>
      </w:r>
      <w:r>
        <w:tab/>
      </w:r>
      <w:r>
        <w:fldChar w:fldCharType="begin"/>
      </w:r>
      <w:r>
        <w:instrText xml:space="preserve"> PAGEREF _Toc16954 \h </w:instrText>
      </w:r>
      <w:r>
        <w:fldChar w:fldCharType="separate"/>
      </w:r>
      <w:r>
        <w:t>14</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_Toc27381 </w:instrText>
      </w:r>
      <w:r>
        <w:fldChar w:fldCharType="separate"/>
      </w:r>
      <w:r>
        <w:rPr>
          <w:rFonts w:hint="eastAsia" w:eastAsia="宋体" w:asciiTheme="minorEastAsia" w:hAnsiTheme="minorEastAsia"/>
          <w:szCs w:val="24"/>
          <w:lang w:val="en-GB"/>
        </w:rPr>
        <w:t xml:space="preserve">5.1.3 </w:t>
      </w:r>
      <w:r>
        <w:rPr>
          <w:rFonts w:hint="eastAsia" w:asciiTheme="minorEastAsia" w:hAnsiTheme="minorEastAsia" w:eastAsiaTheme="minorEastAsia"/>
        </w:rPr>
        <w:t>地板表面温度不满意率LPD3计算公式</w:t>
      </w:r>
      <w:r>
        <w:tab/>
      </w:r>
      <w:r>
        <w:fldChar w:fldCharType="begin"/>
      </w:r>
      <w:r>
        <w:instrText xml:space="preserve"> PAGEREF _Toc27381 \h </w:instrText>
      </w:r>
      <w:r>
        <w:fldChar w:fldCharType="separate"/>
      </w:r>
      <w:r>
        <w:t>15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_Toc23378 </w:instrText>
      </w:r>
      <w:r>
        <w:fldChar w:fldCharType="separate"/>
      </w:r>
      <w:r>
        <w:rPr>
          <w:rFonts w:hint="eastAsia"/>
        </w:rPr>
        <w:t>6 结果</w:t>
      </w:r>
      <w:r>
        <w:t>分析</w:t>
      </w:r>
      <w:r>
        <w:tab/>
      </w:r>
      <w:r>
        <w:fldChar w:fldCharType="begin"/>
      </w:r>
      <w:r>
        <w:instrText xml:space="preserve"> PAGEREF _Toc23378 \h </w:instrText>
      </w:r>
      <w:r>
        <w:fldChar w:fldCharType="separate"/>
      </w:r>
      <w:r>
        <w:t>15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_Toc11388 </w:instrText>
      </w:r>
      <w:r>
        <w:fldChar w:fldCharType="separate"/>
      </w:r>
      <w:r>
        <w:rPr>
          <w:rFonts w:hint="eastAsia"/>
          <w:lang w:val="en-GB"/>
        </w:rPr>
        <w:t xml:space="preserve">6.1 </w:t>
      </w:r>
      <w:r>
        <w:rPr>
          <w:rFonts w:hint="eastAsia"/>
        </w:rPr>
        <w:t>室内热湿环境整体评价指标</w:t>
      </w:r>
      <w:r>
        <w:tab/>
      </w:r>
      <w:r>
        <w:fldChar w:fldCharType="begin"/>
      </w:r>
      <w:r>
        <w:instrText xml:space="preserve"> PAGEREF _Toc11388 \h </w:instrText>
      </w:r>
      <w:r>
        <w:fldChar w:fldCharType="separate"/>
      </w:r>
      <w:r>
        <w:t>15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_Toc27757 </w:instrText>
      </w:r>
      <w:r>
        <w:fldChar w:fldCharType="separate"/>
      </w:r>
      <w:r>
        <w:rPr>
          <w:rFonts w:hint="eastAsia" w:eastAsia="宋体"/>
          <w:szCs w:val="24"/>
          <w:lang w:val="en-GB"/>
        </w:rPr>
        <w:t xml:space="preserve">6.1.1 </w:t>
      </w:r>
      <w:r>
        <w:rPr>
          <w:rFonts w:hint="eastAsia"/>
        </w:rPr>
        <w:t>人行高度处分布图</w:t>
      </w:r>
      <w:r>
        <w:tab/>
      </w:r>
      <w:r>
        <w:fldChar w:fldCharType="begin"/>
      </w:r>
      <w:r>
        <w:instrText xml:space="preserve"> PAGEREF _Toc27757 \h </w:instrText>
      </w:r>
      <w:r>
        <w:fldChar w:fldCharType="separate"/>
      </w:r>
      <w:r>
        <w:t>15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_Toc960 </w:instrText>
      </w:r>
      <w:r>
        <w:fldChar w:fldCharType="separate"/>
      </w:r>
      <w:r>
        <w:rPr>
          <w:rFonts w:hint="eastAsia" w:eastAsia="宋体"/>
          <w:szCs w:val="24"/>
          <w:lang w:val="en-GB"/>
        </w:rPr>
        <w:t xml:space="preserve">6.1.2 </w:t>
      </w:r>
      <w:r>
        <w:rPr>
          <w:rFonts w:hint="eastAsia"/>
        </w:rPr>
        <w:t>室内PMV与PPD达标判定</w:t>
      </w:r>
      <w:r>
        <w:tab/>
      </w:r>
      <w:r>
        <w:fldChar w:fldCharType="begin"/>
      </w:r>
      <w:r>
        <w:instrText xml:space="preserve"> PAGEREF _Toc960 \h </w:instrText>
      </w:r>
      <w:r>
        <w:fldChar w:fldCharType="separate"/>
      </w:r>
      <w:r>
        <w:t>20</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_Toc9218 </w:instrText>
      </w:r>
      <w:r>
        <w:fldChar w:fldCharType="separate"/>
      </w:r>
      <w:r>
        <w:rPr>
          <w:rFonts w:hint="eastAsia"/>
          <w:lang w:val="en-GB"/>
        </w:rPr>
        <w:t xml:space="preserve">6.2 </w:t>
      </w:r>
      <w:r>
        <w:rPr>
          <w:rFonts w:hint="eastAsia"/>
        </w:rPr>
        <w:t>室内热湿环境局部评价指标</w:t>
      </w:r>
      <w:r>
        <w:tab/>
      </w:r>
      <w:r>
        <w:fldChar w:fldCharType="begin"/>
      </w:r>
      <w:r>
        <w:instrText xml:space="preserve"> PAGEREF _Toc9218 \h </w:instrText>
      </w:r>
      <w:r>
        <w:fldChar w:fldCharType="separate"/>
      </w:r>
      <w:r>
        <w:t>20</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_Toc3453 </w:instrText>
      </w:r>
      <w:r>
        <w:fldChar w:fldCharType="separate"/>
      </w:r>
      <w:r>
        <w:rPr>
          <w:rFonts w:hint="eastAsia"/>
        </w:rPr>
        <w:t>7 结论</w:t>
      </w:r>
      <w:r>
        <w:tab/>
      </w:r>
      <w:r>
        <w:fldChar w:fldCharType="begin"/>
      </w:r>
      <w:r>
        <w:instrText xml:space="preserve"> PAGEREF _Toc3453 \h </w:instrText>
      </w:r>
      <w:r>
        <w:fldChar w:fldCharType="separate"/>
      </w:r>
      <w:r>
        <w:t>20</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24942"/>
      <w:r>
        <w:rPr>
          <w:rFonts w:hint="eastAsia"/>
        </w:rPr>
        <w:t>项目概况</w:t>
      </w:r>
      <w:bookmarkEnd w:id="12"/>
      <w:bookmarkEnd w:id="13"/>
    </w:p>
    <w:p>
      <w:pPr>
        <w:pStyle w:val="3"/>
        <w:ind w:firstLine="420"/>
        <w:rPr>
          <w:lang w:val="en-US"/>
        </w:rPr>
      </w:pPr>
      <w:bookmarkStart w:id="14" w:name="项目概况"/>
      <w:bookmarkEnd w:id="14"/>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452108760"/>
      <w:bookmarkStart w:id="16" w:name="_Toc2332"/>
      <w:bookmarkStart w:id="17" w:name="平面图2"/>
      <w:r>
        <w:t>平面图</w:t>
      </w:r>
      <w:bookmarkEnd w:id="15"/>
      <w:bookmarkEnd w:id="16"/>
    </w:p>
    <w:p>
      <w:pPr>
        <w:pStyle w:val="3"/>
        <w:ind w:firstLine="0" w:firstLineChars="0"/>
        <w:jc w:val="center"/>
        <w:rPr>
          <w:lang w:val="en-US"/>
        </w:rPr>
      </w:pPr>
      <w:bookmarkStart w:id="18" w:name="平面图"/>
      <w:bookmarkEnd w:id="18"/>
      <w:r>
        <w:drawing>
          <wp:inline distT="0" distB="0" distL="0" distR="0">
            <wp:extent cx="5667375" cy="7486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74866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4194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34194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34861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34861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41624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4162425"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44958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495800" cy="80105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drawing>
          <wp:inline distT="0" distB="0" distL="0" distR="0">
            <wp:extent cx="5667375" cy="53244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32447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r>
        <w:drawing>
          <wp:inline distT="0" distB="0" distL="0" distR="0">
            <wp:extent cx="5667375" cy="30956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pPr>
        <w:pStyle w:val="3"/>
        <w:ind w:firstLine="0" w:firstLineChars="0"/>
        <w:jc w:val="center"/>
        <w:rPr>
          <w:lang w:val="en-US"/>
        </w:rPr>
      </w:pPr>
      <w:r>
        <w:rPr>
          <w:lang w:val="en-US"/>
        </w:rPr>
        <w:t>7层平面</w:t>
      </w:r>
    </w:p>
    <w:p>
      <w:pPr>
        <w:pStyle w:val="3"/>
        <w:ind w:firstLine="0" w:firstLineChars="0"/>
        <w:jc w:val="center"/>
        <w:rPr>
          <w:lang w:val="en-US"/>
        </w:rPr>
      </w:pPr>
    </w:p>
    <w:bookmarkEnd w:id="17"/>
    <w:p>
      <w:pPr>
        <w:pStyle w:val="3"/>
        <w:ind w:firstLine="0" w:firstLineChars="0"/>
        <w:jc w:val="center"/>
        <w:rPr>
          <w:lang w:val="en-US"/>
        </w:rPr>
      </w:pPr>
    </w:p>
    <w:p>
      <w:pPr>
        <w:pStyle w:val="4"/>
      </w:pPr>
      <w:bookmarkStart w:id="19" w:name="_Toc452108761"/>
      <w:bookmarkStart w:id="20" w:name="_Toc4240"/>
      <w:r>
        <w:rPr>
          <w:rFonts w:hint="eastAsia"/>
        </w:rPr>
        <w:t>三</w:t>
      </w:r>
      <w:r>
        <w:t>维视图</w:t>
      </w:r>
      <w:bookmarkEnd w:id="19"/>
      <w:bookmarkEnd w:id="20"/>
    </w:p>
    <w:p>
      <w:pPr>
        <w:pStyle w:val="3"/>
        <w:ind w:firstLine="0" w:firstLineChars="0"/>
        <w:jc w:val="center"/>
        <w:rPr>
          <w:lang w:val="en-US"/>
        </w:rPr>
      </w:pPr>
      <w:bookmarkStart w:id="21" w:name="三维视图"/>
      <w:bookmarkStart w:id="22" w:name="模型观察"/>
      <w:r>
        <w:t>请先在【模型观察】命令中保存图片</w:t>
      </w:r>
      <w:bookmarkEnd w:id="21"/>
      <w:bookmarkEnd w:id="22"/>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TitleFormat"/>
      <w:bookmarkStart w:id="24" w:name="_Toc452108762"/>
      <w:bookmarkStart w:id="25" w:name="_Toc21678"/>
      <w:r>
        <w:rPr>
          <w:rFonts w:hint="eastAsia"/>
        </w:rPr>
        <w:t>计算</w:t>
      </w:r>
      <w:r>
        <w:t>依据</w:t>
      </w:r>
      <w:bookmarkEnd w:id="23"/>
      <w:bookmarkEnd w:id="24"/>
      <w:bookmarkEnd w:id="25"/>
    </w:p>
    <w:p>
      <w:pPr>
        <w:pStyle w:val="3"/>
        <w:ind w:firstLine="199" w:firstLineChars="95"/>
        <w:rPr>
          <w:lang w:val="en-US"/>
        </w:rPr>
      </w:pPr>
      <w:bookmarkStart w:id="26"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《健康建筑评价标准》T-ASC02-2016</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4102"/>
      <w:r>
        <w:rPr>
          <w:rFonts w:hint="eastAsia"/>
        </w:rPr>
        <w:t>参考</w:t>
      </w:r>
      <w:r>
        <w:t>标准</w:t>
      </w:r>
      <w:bookmarkEnd w:id="26"/>
      <w:bookmarkEnd w:id="29"/>
    </w:p>
    <w:p>
      <w:pPr>
        <w:pStyle w:val="3"/>
        <w:ind w:firstLine="420"/>
        <w:rPr>
          <w:lang w:val="en-US"/>
        </w:rPr>
      </w:pPr>
      <w:bookmarkStart w:id="30" w:name="_Toc451698935"/>
      <w:bookmarkStart w:id="31" w:name="_Toc452108764"/>
      <w:r>
        <w:rPr>
          <w:rFonts w:hint="eastAsia"/>
          <w:lang w:val="en-US"/>
        </w:rPr>
        <w:t>室内热湿环境评价的主要依据为《健康建筑评价标准》</w:t>
      </w:r>
      <w:r>
        <w:rPr>
          <w:lang w:val="en-US"/>
        </w:rPr>
        <w:t>T-ASC02-2016</w:t>
      </w:r>
      <w:r>
        <w:rPr>
          <w:rFonts w:hint="eastAsia"/>
          <w:lang w:val="en-US"/>
        </w:rPr>
        <w:t>中6.2.10的要求，具体评分规则如下：</w:t>
      </w:r>
    </w:p>
    <w:p>
      <w:pPr>
        <w:pStyle w:val="30"/>
        <w:ind w:left="143" w:leftChars="68" w:firstLine="422"/>
        <w:rPr>
          <w:sz w:val="21"/>
          <w:szCs w:val="21"/>
        </w:rPr>
      </w:pPr>
      <w:r>
        <w:rPr>
          <w:rFonts w:hint="eastAsia"/>
          <w:b/>
          <w:sz w:val="21"/>
          <w:szCs w:val="21"/>
        </w:rPr>
        <w:t>6.2.10</w:t>
      </w:r>
      <w:r>
        <w:rPr>
          <w:rFonts w:hint="eastAsia"/>
          <w:sz w:val="21"/>
          <w:szCs w:val="21"/>
        </w:rPr>
        <w:t xml:space="preserve"> 室内人工冷热源热湿环境满足现行国家标准《民用建筑室内热湿环境评价标准》GB/T 50785的要求，评价总分值为13分，并按下列规则分别评分并累计：</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1 </w:t>
      </w:r>
      <w:r>
        <w:rPr>
          <w:rFonts w:hint="eastAsia" w:asciiTheme="minorEastAsia" w:hAnsiTheme="minorEastAsia" w:eastAsiaTheme="minorEastAsia"/>
          <w:szCs w:val="21"/>
        </w:rPr>
        <w:t>热湿环境整体评价等级达到Ⅱ级，得4分；达到Ⅰ级，得8分；</w:t>
      </w:r>
    </w:p>
    <w:p>
      <w:pPr>
        <w:pStyle w:val="3"/>
        <w:ind w:left="105" w:leftChars="50" w:firstLine="316" w:firstLineChars="150"/>
      </w:pPr>
      <w:r>
        <w:rPr>
          <w:rFonts w:hint="eastAsia" w:asciiTheme="minorEastAsia" w:hAnsiTheme="minorEastAsia" w:eastAsiaTheme="minorEastAsia"/>
          <w:b/>
        </w:rPr>
        <w:t xml:space="preserve">2 </w:t>
      </w:r>
      <w:r>
        <w:rPr>
          <w:rFonts w:hint="eastAsia" w:asciiTheme="minorEastAsia" w:hAnsiTheme="minorEastAsia" w:eastAsiaTheme="minorEastAsia"/>
        </w:rPr>
        <w:t>室内人工热环境热局部舒适评价冷吹风感引起的局部不满意率（LPD1）、垂直空气温度差引起的局部不满意率（LPD2）和地板表面温度引起的局部不满意率（LPD3）满足Ⅱ级的要求，得</w:t>
      </w:r>
      <w:r>
        <w:rPr>
          <w:rFonts w:asciiTheme="minorEastAsia" w:hAnsiTheme="minorEastAsia" w:eastAsiaTheme="minorEastAsia"/>
        </w:rPr>
        <w:t>3</w:t>
      </w:r>
      <w:r>
        <w:rPr>
          <w:rFonts w:hint="eastAsia" w:asciiTheme="minorEastAsia" w:hAnsiTheme="minorEastAsia" w:eastAsiaTheme="minorEastAsia"/>
        </w:rPr>
        <w:t>分；满足Ⅰ级的要求，得</w:t>
      </w:r>
      <w:r>
        <w:rPr>
          <w:rFonts w:asciiTheme="minorEastAsia" w:hAnsiTheme="minorEastAsia" w:eastAsiaTheme="minorEastAsia"/>
        </w:rPr>
        <w:t>5</w:t>
      </w:r>
      <w:r>
        <w:rPr>
          <w:rFonts w:hint="eastAsia" w:asciiTheme="minorEastAsia" w:hAnsiTheme="minorEastAsia" w:eastAsiaTheme="minorEastAsia"/>
        </w:rPr>
        <w:t>分。</w:t>
      </w:r>
    </w:p>
    <w:bookmarkEnd w:id="30"/>
    <w:bookmarkEnd w:id="31"/>
    <w:p>
      <w:pPr>
        <w:pStyle w:val="2"/>
      </w:pPr>
      <w:bookmarkStart w:id="32" w:name="_Toc57236350"/>
      <w:bookmarkStart w:id="33" w:name="_Toc2310"/>
      <w:r>
        <w:rPr>
          <w:rFonts w:hint="eastAsia"/>
        </w:rPr>
        <w:t>室内热湿环境整体评价指标PMV与PPD计算方法</w:t>
      </w:r>
      <w:bookmarkEnd w:id="32"/>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22381"/>
      <w:r>
        <w:t>CFD</w:t>
      </w:r>
      <w:r>
        <w:rPr>
          <w:rFonts w:hint="eastAsia"/>
        </w:rPr>
        <w:t>计算原理</w:t>
      </w:r>
      <w:bookmarkEnd w:id="34"/>
    </w:p>
    <w:p>
      <w:pPr>
        <w:pStyle w:val="5"/>
      </w:pPr>
      <w:bookmarkStart w:id="35" w:name="_Toc20611"/>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451698938"/>
      <w:bookmarkStart w:id="38" w:name="_Toc8151"/>
      <w:bookmarkStart w:id="39" w:name="_Toc26004"/>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2108767"/>
      <w:bookmarkStart w:id="41" w:name="_Toc451698939"/>
      <w:bookmarkStart w:id="42" w:name="_Toc23583"/>
      <w:bookmarkStart w:id="43" w:name="_Toc24021"/>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25953"/>
      <w:r>
        <w:rPr>
          <w:rFonts w:hint="eastAsia"/>
        </w:rPr>
        <w:t>PMV-PPD</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31171"/>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9" o:title=""/>
            <o:lock v:ext="edit" aspectratio="t"/>
            <w10:wrap type="none"/>
            <w10:anchorlock/>
          </v:shape>
          <o:OLEObject Type="Embed" ProgID="Equation.3" ShapeID="_x0000_i1025" DrawAspect="Content" ObjectID="_1468075725" r:id="rId58">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979"/>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61">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22499"/>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9965"/>
      <w:r>
        <w:rPr>
          <w:rFonts w:hint="eastAsia"/>
        </w:rPr>
        <w:t>室内热湿环境局部评价</w:t>
      </w:r>
      <w:r>
        <w:t>指标</w:t>
      </w:r>
      <w:r>
        <w:rPr>
          <w:rFonts w:hint="eastAsia"/>
        </w:rPr>
        <w:t>计算方法</w:t>
      </w:r>
      <w:bookmarkEnd w:id="51"/>
    </w:p>
    <w:p>
      <w:pPr>
        <w:pStyle w:val="3"/>
        <w:ind w:firstLine="420"/>
        <w:rPr>
          <w:lang w:val="en-US"/>
        </w:rPr>
      </w:pPr>
      <w:r>
        <w:rPr>
          <w:rFonts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pPr>
        <w:pStyle w:val="3"/>
        <w:ind w:firstLine="420"/>
        <w:rPr>
          <w:lang w:val="en-US"/>
        </w:rPr>
      </w:pPr>
      <w:r>
        <w:rPr>
          <w:rFonts w:hint="eastAsia"/>
          <w:lang w:val="en-US"/>
        </w:rPr>
        <w:t xml:space="preserve">  CFD计算原理已经在第4章阐述，在此不再赘述。下面为三个局部不满意率对应的计算公式：</w:t>
      </w:r>
    </w:p>
    <w:p>
      <w:pPr>
        <w:pStyle w:val="5"/>
        <w:rPr>
          <w:rFonts w:asciiTheme="minorEastAsia" w:hAnsiTheme="minorEastAsia" w:eastAsiaTheme="minorEastAsia"/>
        </w:rPr>
      </w:pPr>
      <w:bookmarkStart w:id="52" w:name="_Toc12860"/>
      <w:r>
        <w:rPr>
          <w:rFonts w:hint="eastAsia" w:asciiTheme="minorEastAsia" w:hAnsiTheme="minorEastAsia" w:eastAsiaTheme="minorEastAsia"/>
        </w:rPr>
        <w:t>冷吹风感局部不满意率LPD1计算公式</w:t>
      </w:r>
      <w:bookmarkEnd w:id="52"/>
    </w:p>
    <w:p>
      <w:pPr>
        <w:ind w:firstLine="420" w:firstLineChars="200"/>
        <w:rPr>
          <w:sz w:val="24"/>
          <w:szCs w:val="24"/>
        </w:rPr>
      </w:pPr>
      <w:r>
        <w:rPr>
          <w:szCs w:val="21"/>
          <w:lang w:val="en-US"/>
        </w:rPr>
        <w:t>冷吹风感引起的局部不满意率</w:t>
      </w:r>
      <w:r>
        <w:rPr>
          <w:rFonts w:hint="eastAsia"/>
          <w:sz w:val="24"/>
          <w:szCs w:val="24"/>
        </w:rPr>
        <w:t>（</w:t>
      </w:r>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sz w:val="24"/>
          <w:szCs w:val="24"/>
        </w:rPr>
        <w:t>）</w:t>
      </w:r>
      <w:r>
        <w:rPr>
          <w:rFonts w:hint="eastAsia"/>
          <w:szCs w:val="21"/>
          <w:lang w:val="en-US"/>
        </w:rPr>
        <w:t>应按下式计算：</w:t>
      </w:r>
    </w:p>
    <w:p>
      <w:pPr>
        <w:rPr>
          <w:i/>
          <w:sz w:val="24"/>
          <w:szCs w:val="24"/>
        </w:rPr>
      </w:pPr>
      <m:oMathPara>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34−</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−0.05</m:t>
                  </m:r>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0.62</m:t>
              </m:r>
              <m:ctrlPr>
                <w:rPr>
                  <w:rFonts w:ascii="Cambria Math" w:hAnsi="Cambria Math"/>
                  <w:i/>
                  <w:sz w:val="24"/>
                  <w:szCs w:val="24"/>
                </w:rPr>
              </m:ctrlPr>
            </m:sup>
          </m:sSup>
          <m:d>
            <m:dPr>
              <m:ctrlPr>
                <w:rPr>
                  <w:rFonts w:ascii="Cambria Math" w:hAnsi="Cambria Math"/>
                  <w:i/>
                  <w:sz w:val="24"/>
                  <w:szCs w:val="24"/>
                </w:rPr>
              </m:ctrlPr>
            </m:dPr>
            <m:e>
              <m:r>
                <m:rP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u</m:t>
                  </m:r>
                  <m:ctrlPr>
                    <w:rPr>
                      <w:rFonts w:ascii="Cambria Math" w:hAnsi="Cambria Math"/>
                      <w:i/>
                      <w:sz w:val="24"/>
                      <w:szCs w:val="24"/>
                    </w:rPr>
                  </m:ctrlPr>
                </m:sub>
              </m:sSub>
              <m:r>
                <m:rPr/>
                <w:rPr>
                  <w:rFonts w:ascii="Cambria Math" w:hAnsi="Cambria Math"/>
                  <w:sz w:val="24"/>
                  <w:szCs w:val="24"/>
                </w:rPr>
                <m:t>+3.14</m:t>
              </m:r>
              <m:ctrlPr>
                <w:rPr>
                  <w:rFonts w:ascii="Cambria Math" w:hAnsi="Cambria Math"/>
                  <w:i/>
                  <w:sz w:val="24"/>
                  <w:szCs w:val="24"/>
                </w:rPr>
              </m:ctrlPr>
            </m:e>
          </m:d>
        </m:oMath>
      </m:oMathPara>
    </w:p>
    <w:p>
      <w:pPr>
        <w:ind w:firstLine="420" w:firstLineChars="200"/>
        <w:rPr>
          <w:szCs w:val="21"/>
        </w:rPr>
      </w:pPr>
      <w:r>
        <w:rPr>
          <w:rFonts w:hint="eastAsia"/>
          <w:szCs w:val="21"/>
        </w:rPr>
        <w:t>式中：</w:t>
      </w:r>
      <m:oMath>
        <m:sSub>
          <m:sSubPr>
            <m:ctrlPr>
              <w:rPr>
                <w:rFonts w:ascii="Cambria Math" w:hAnsi="Cambria Math"/>
                <w:i/>
                <w:szCs w:val="21"/>
              </w:rPr>
            </m:ctrlPr>
          </m:sSubPr>
          <m:e>
            <m:r>
              <m:rPr>
                <m:nor/>
              </m:rPr>
              <w:rPr>
                <w:rFonts w:ascii="Cambria Math" w:hAnsi="Cambria Math"/>
                <w:i/>
                <w:szCs w:val="21"/>
              </w:rPr>
              <m:t>LPD</m:t>
            </m:r>
            <m:ctrlPr>
              <w:rPr>
                <w:rFonts w:ascii="Cambria Math" w:hAnsi="Cambria Math"/>
                <w:i/>
                <w:szCs w:val="21"/>
              </w:rPr>
            </m:ctrlPr>
          </m:e>
          <m:sub>
            <m:r>
              <m:rPr>
                <m:nor/>
              </m:rPr>
              <w:rPr>
                <w:rFonts w:ascii="Cambria Math" w:hAnsi="Cambria Math"/>
                <w:i/>
                <w:szCs w:val="21"/>
              </w:rPr>
              <m:t>1</m:t>
            </m:r>
            <m:ctrlPr>
              <w:rPr>
                <w:rFonts w:ascii="Cambria Math" w:hAnsi="Cambria Math"/>
                <w:i/>
                <w:szCs w:val="21"/>
              </w:rPr>
            </m:ctrlPr>
          </m:sub>
        </m:sSub>
      </m:oMath>
      <w:r>
        <w:rPr>
          <w:rFonts w:hint="eastAsia"/>
          <w:szCs w:val="21"/>
        </w:rPr>
        <w:t>——</w:t>
      </w:r>
      <w:r>
        <w:rPr>
          <w:szCs w:val="21"/>
        </w:rPr>
        <w:t>局部不满意率</w:t>
      </w:r>
      <w:r>
        <w:rPr>
          <w:rFonts w:hint="eastAsia"/>
          <w:szCs w:val="21"/>
        </w:rPr>
        <w:t>（%）；</w:t>
      </w:r>
    </w:p>
    <w:p>
      <w:pPr>
        <w:ind w:firstLine="630" w:firstLineChars="300"/>
        <w:rPr>
          <w:szCs w:val="21"/>
        </w:rPr>
      </w:pPr>
      <m:oMath>
        <m:r>
          <m:rPr/>
          <w:rPr>
            <w:rFonts w:ascii="Cambria Math" w:hAnsi="Cambria Math"/>
            <w:szCs w:val="21"/>
          </w:rPr>
          <m:t xml:space="preserve">        </m:t>
        </m:r>
        <m:sSub>
          <m:sSubPr>
            <m:ctrlPr>
              <w:rPr>
                <w:rFonts w:ascii="Cambria Math" w:hAnsi="Cambria Math"/>
                <w:i/>
                <w:szCs w:val="21"/>
              </w:rPr>
            </m:ctrlPr>
          </m:sSubPr>
          <m:e>
            <m:r>
              <m:rPr>
                <m:nor/>
              </m:rPr>
              <w:rPr>
                <w:rFonts w:ascii="Cambria Math" w:hAnsi="Cambria Math"/>
                <w:i/>
                <w:szCs w:val="21"/>
              </w:rPr>
              <m:t>t</m:t>
            </m:r>
            <m:ctrlPr>
              <w:rPr>
                <w:rFonts w:ascii="Cambria Math" w:hAnsi="Cambria Math"/>
                <w:i/>
                <w:szCs w:val="21"/>
              </w:rPr>
            </m:ctrlPr>
          </m:e>
          <m:sub>
            <m:r>
              <m:rPr>
                <m:nor/>
              </m:rPr>
              <w:rPr>
                <w:rFonts w:ascii="Cambria Math" w:hAnsi="Cambria Math"/>
                <w:i/>
                <w:szCs w:val="21"/>
              </w:rPr>
              <m:t>al</m:t>
            </m:r>
            <m:ctrlPr>
              <w:rPr>
                <w:rFonts w:ascii="Cambria Math" w:hAnsi="Cambria Math"/>
                <w:i/>
                <w:szCs w:val="21"/>
              </w:rPr>
            </m:ctrlPr>
          </m:sub>
        </m:sSub>
      </m:oMath>
      <w:r>
        <w:rPr>
          <w:rFonts w:hint="eastAsia"/>
          <w:szCs w:val="21"/>
        </w:rPr>
        <w:t xml:space="preserve"> ——局部空气温度（℃）；</w:t>
      </w:r>
    </w:p>
    <w:p>
      <w:pPr>
        <w:ind w:left="1478" w:leftChars="487" w:hanging="455" w:hangingChars="217"/>
        <w:rPr>
          <w:szCs w:val="21"/>
        </w:rPr>
      </w:pPr>
      <m:oMath>
        <m:acc>
          <m:accPr>
            <m:chr m:val="̅"/>
            <m:ctrlPr>
              <w:rPr>
                <w:rFonts w:ascii="Cambria Math" w:hAnsi="Cambria Math"/>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al</m:t>
                </m:r>
                <m:ctrlPr>
                  <w:rPr>
                    <w:rFonts w:ascii="Cambria Math" w:hAnsi="Cambria Math"/>
                    <w:i/>
                    <w:szCs w:val="21"/>
                  </w:rPr>
                </m:ctrlPr>
              </m:sub>
            </m:sSub>
            <m:ctrlPr>
              <w:rPr>
                <w:rFonts w:ascii="Cambria Math" w:hAnsi="Cambria Math"/>
                <w:szCs w:val="21"/>
              </w:rPr>
            </m:ctrlPr>
          </m:e>
        </m:acc>
      </m:oMath>
      <w:r>
        <w:rPr>
          <w:rFonts w:hint="eastAsia"/>
          <w:szCs w:val="21"/>
        </w:rPr>
        <w:t xml:space="preserve"> ——局部平均空气流速（</w:t>
      </w:r>
      <w:r>
        <w:rPr>
          <w:szCs w:val="21"/>
        </w:rPr>
        <w:t>m/s</w:t>
      </w:r>
      <w:r>
        <w:rPr>
          <w:rFonts w:hint="eastAsia"/>
          <w:szCs w:val="21"/>
        </w:rPr>
        <w:t>）。若局部平均空气流速小于0</w:t>
      </w:r>
      <w:r>
        <w:rPr>
          <w:szCs w:val="21"/>
        </w:rPr>
        <w:t>.05m/s</w:t>
      </w:r>
      <w:r>
        <w:rPr>
          <w:rFonts w:hint="eastAsia"/>
          <w:szCs w:val="21"/>
        </w:rPr>
        <w:t>，</w:t>
      </w:r>
      <w:r>
        <w:rPr>
          <w:szCs w:val="21"/>
        </w:rPr>
        <w:t>取</w:t>
      </w:r>
      <w:r>
        <w:rPr>
          <w:rFonts w:hint="eastAsia"/>
          <w:szCs w:val="21"/>
        </w:rPr>
        <w:t>0</w:t>
      </w:r>
      <w:r>
        <w:rPr>
          <w:szCs w:val="21"/>
        </w:rPr>
        <w:t>.05m/s;</w:t>
      </w:r>
    </w:p>
    <w:p>
      <w:pPr>
        <w:tabs>
          <w:tab w:val="center" w:pos="4513"/>
        </w:tabs>
        <w:ind w:firstLine="630" w:firstLineChars="300"/>
        <w:rPr>
          <w:szCs w:val="21"/>
        </w:rPr>
      </w:pPr>
      <m:oMath>
        <m:sSub>
          <m:sSubPr>
            <m:ctrlPr>
              <w:rPr>
                <w:rFonts w:ascii="Cambria Math" w:hAnsi="Cambria Math"/>
                <w:i/>
                <w:szCs w:val="21"/>
              </w:rPr>
            </m:ctrlPr>
          </m:sSubPr>
          <m:e>
            <m:r>
              <m:rPr>
                <m:nor/>
              </m:rPr>
              <w:rPr>
                <w:rFonts w:ascii="Cambria Math" w:hAnsi="Cambria Math"/>
                <w:i/>
                <w:szCs w:val="21"/>
              </w:rPr>
              <m:t xml:space="preserve">       T</m:t>
            </m:r>
            <m:ctrlPr>
              <w:rPr>
                <w:rFonts w:ascii="Cambria Math" w:hAnsi="Cambria Math"/>
                <w:i/>
                <w:szCs w:val="21"/>
              </w:rPr>
            </m:ctrlPr>
          </m:e>
          <m:sub>
            <m:r>
              <m:rPr>
                <m:nor/>
              </m:rPr>
              <w:rPr>
                <w:rFonts w:ascii="Cambria Math" w:hAnsi="Cambria Math"/>
                <w:i/>
                <w:szCs w:val="21"/>
              </w:rPr>
              <m:t>u</m:t>
            </m:r>
            <m:ctrlPr>
              <w:rPr>
                <w:rFonts w:ascii="Cambria Math" w:hAnsi="Cambria Math"/>
                <w:i/>
                <w:szCs w:val="21"/>
              </w:rPr>
            </m:ctrlPr>
          </m:sub>
        </m:sSub>
        <m:r>
          <m:rPr/>
          <w:rPr>
            <w:rFonts w:ascii="Cambria Math" w:hAnsi="Cambria Math"/>
            <w:szCs w:val="21"/>
          </w:rPr>
          <m:t xml:space="preserve"> </m:t>
        </m:r>
      </m:oMath>
      <w:r>
        <w:rPr>
          <w:rFonts w:hint="eastAsia"/>
          <w:szCs w:val="21"/>
        </w:rPr>
        <w:t xml:space="preserve"> ——</w:t>
      </w:r>
      <w:r>
        <w:rPr>
          <w:szCs w:val="21"/>
        </w:rPr>
        <w:t>局部紊流强度</w:t>
      </w:r>
      <w:r>
        <w:rPr>
          <w:rFonts w:hint="eastAsia"/>
          <w:szCs w:val="21"/>
        </w:rPr>
        <w:t>（%）。</w:t>
      </w:r>
      <w:r>
        <w:rPr>
          <w:szCs w:val="21"/>
        </w:rPr>
        <w:tab/>
      </w:r>
    </w:p>
    <w:p>
      <w:pPr>
        <w:pStyle w:val="5"/>
        <w:rPr>
          <w:rFonts w:asciiTheme="minorEastAsia" w:hAnsiTheme="minorEastAsia" w:eastAsiaTheme="minorEastAsia"/>
        </w:rPr>
      </w:pPr>
      <w:bookmarkStart w:id="53" w:name="_Toc16954"/>
      <w:r>
        <w:rPr>
          <w:rFonts w:hint="eastAsia" w:asciiTheme="minorEastAsia" w:hAnsiTheme="minorEastAsia" w:eastAsiaTheme="minorEastAsia"/>
        </w:rPr>
        <w:t>垂直空气温度差不满意率LPD2计算公式</w:t>
      </w:r>
      <w:bookmarkEnd w:id="53"/>
    </w:p>
    <w:p>
      <w:pPr>
        <w:pStyle w:val="3"/>
        <w:ind w:firstLine="480"/>
        <w:rPr>
          <w:i/>
          <w:sz w:val="24"/>
          <w:lang w:val="en-US"/>
        </w:rPr>
      </w:pPr>
      <m:oMathPara>
        <m:oMath>
          <m:r>
            <m:rPr/>
            <w:rPr>
              <w:rFonts w:hint="eastAsia" w:ascii="Cambria Math" w:hAnsi="Cambria Math"/>
              <w:sz w:val="24"/>
              <w:lang w:val="en-US"/>
            </w:rPr>
            <m:t>L</m:t>
          </m:r>
          <m:r>
            <m:rPr/>
            <w:rPr>
              <w:rFonts w:hint="eastAsia" w:ascii="Cambria Math" w:hAnsi="Cambria Math"/>
              <w:sz w:val="24"/>
              <w:szCs w:val="24"/>
            </w:rPr>
            <m:t>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hint="eastAsia" w:ascii="Cambria Math" w:hAnsi="Cambria Math"/>
                  <w:sz w:val="24"/>
                  <w:szCs w:val="24"/>
                </w:rPr>
                <m:t>2</m:t>
              </m:r>
              <m:ctrlPr>
                <w:rPr>
                  <w:rFonts w:ascii="Cambria Math" w:hAnsi="Cambria Math"/>
                  <w:i/>
                  <w:sz w:val="24"/>
                  <w:szCs w:val="24"/>
                </w:rPr>
              </m:ctrlPr>
            </m:sub>
          </m:sSub>
          <m:r>
            <m:rPr/>
            <w:rPr>
              <w:rFonts w:hint="eastAsia" w:ascii="Cambria Math" w:hAnsi="Cambria Math"/>
              <w:sz w:val="24"/>
              <w:szCs w:val="24"/>
            </w:rPr>
            <m:t>=</m:t>
          </m:r>
          <m:f>
            <m:fPr>
              <m:ctrlPr>
                <w:rPr>
                  <w:rFonts w:ascii="Cambria Math" w:hAnsi="Cambria Math"/>
                  <w:i/>
                  <w:sz w:val="24"/>
                  <w:szCs w:val="24"/>
                </w:rPr>
              </m:ctrlPr>
            </m:fPr>
            <m:num>
              <m:r>
                <m:rPr/>
                <w:rPr>
                  <w:rFonts w:hint="eastAsia" w:ascii="Cambria Math" w:hAnsi="Cambria Math"/>
                  <w:sz w:val="24"/>
                  <w:szCs w:val="24"/>
                </w:rPr>
                <m:t>100</m:t>
              </m:r>
              <m:ctrlPr>
                <w:rPr>
                  <w:rFonts w:ascii="Cambria Math" w:hAnsi="Cambria Math"/>
                  <w:i/>
                  <w:sz w:val="24"/>
                  <w:szCs w:val="24"/>
                </w:rPr>
              </m:ctrlPr>
            </m:num>
            <m:den>
              <m:r>
                <m:rPr/>
                <w:rPr>
                  <w:rFonts w:hint="eastAsia" w:ascii="Cambria Math" w:hAnsi="Cambria Math"/>
                  <w:sz w:val="24"/>
                  <w:szCs w:val="24"/>
                </w:rPr>
                <m:t>1+exp(5.76</m:t>
              </m:r>
              <m:r>
                <m:rPr/>
                <w:rPr>
                  <w:rFonts w:ascii="Cambria Math" w:hAnsi="Cambria Math"/>
                  <w:sz w:val="24"/>
                  <w:szCs w:val="24"/>
                </w:rPr>
                <m:t>−</m:t>
              </m:r>
              <m:r>
                <m:rPr/>
                <w:rPr>
                  <w:rFonts w:hint="eastAsia" w:ascii="Cambria Math" w:hAnsi="Cambria Math"/>
                  <w:sz w:val="24"/>
                  <w:szCs w:val="24"/>
                </w:rPr>
                <m:t>0.856</m:t>
              </m:r>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m:t>
                  </m:r>
                  <m:r>
                    <m:rPr/>
                    <w:rPr>
                      <w:rFonts w:hint="eastAsia" w:ascii="Cambria Math" w:hAnsi="Cambria Math"/>
                      <w:sz w:val="24"/>
                      <w:szCs w:val="24"/>
                    </w:rPr>
                    <m:t>t</m:t>
                  </m:r>
                  <m:ctrlPr>
                    <w:rPr>
                      <w:rFonts w:ascii="Cambria Math" w:hAnsi="Cambria Math"/>
                      <w:i/>
                      <w:sz w:val="24"/>
                      <w:szCs w:val="24"/>
                    </w:rPr>
                  </m:ctrlPr>
                </m:e>
                <m:sub>
                  <m:r>
                    <m:rPr/>
                    <w:rPr>
                      <w:rFonts w:ascii="Cambria Math" w:hAnsi="Cambria Math"/>
                      <w:sz w:val="24"/>
                      <w:szCs w:val="24"/>
                    </w:rPr>
                    <m:t>a,v</m:t>
                  </m:r>
                  <m:ctrlPr>
                    <w:rPr>
                      <w:rFonts w:ascii="Cambria Math" w:hAnsi="Cambria Math"/>
                      <w:i/>
                      <w:sz w:val="24"/>
                      <w:szCs w:val="24"/>
                    </w:rPr>
                  </m:ctrlPr>
                </m:sub>
              </m:sSub>
              <m:r>
                <m:rPr/>
                <w:rPr>
                  <w:rFonts w:hint="eastAsia" w:ascii="Cambria Math" w:hAnsi="Cambria Math"/>
                  <w:sz w:val="24"/>
                  <w:szCs w:val="24"/>
                </w:rPr>
                <m:t xml:space="preserve">) </m:t>
              </m:r>
              <m:ctrlPr>
                <w:rPr>
                  <w:rFonts w:ascii="Cambria Math" w:hAnsi="Cambria Math"/>
                  <w:i/>
                  <w:sz w:val="24"/>
                  <w:szCs w:val="24"/>
                </w:rPr>
              </m:ctrlPr>
            </m:den>
          </m:f>
        </m:oMath>
      </m:oMathPara>
    </w:p>
    <w:p>
      <w:pPr>
        <w:pStyle w:val="3"/>
        <w:ind w:firstLine="420"/>
        <w:rPr>
          <w:sz w:val="28"/>
          <w:lang w:val="en-US"/>
        </w:rPr>
      </w:pPr>
      <w:r>
        <w:rPr>
          <w:rFonts w:hint="eastAsia"/>
        </w:rPr>
        <w:t>式中：</w:t>
      </w:r>
      <m:oMath>
        <m:r>
          <m:rPr>
            <m:nor/>
          </m:rPr>
          <w:rPr>
            <w:rFonts w:hint="eastAsia" w:ascii="Cambria Math" w:hAnsiTheme="minorEastAsia" w:eastAsiaTheme="minorEastAsia"/>
            <w:i/>
            <w:lang w:val="en-US"/>
          </w:rPr>
          <m:t xml:space="preserve"> </m:t>
        </m:r>
        <m:r>
          <m:rPr>
            <m:nor/>
          </m:rPr>
          <w:rPr>
            <w:rFonts w:hint="eastAsia" w:ascii="Cambria Math" w:hAnsi="Cambria Math"/>
            <w:i/>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eastAsiaTheme="minorEastAsia"/>
            <w:lang w:val="en-US"/>
          </w:rPr>
          <m:t>——</m:t>
        </m:r>
        <m:r>
          <m:rPr>
            <m:sty m:val="p"/>
          </m:rPr>
          <w:rPr>
            <w:rFonts w:hint="eastAsia" w:ascii="Cambria Math" w:hAnsi="Cambria Math" w:eastAsiaTheme="minorEastAsia"/>
            <w:lang w:val="en-US"/>
          </w:rPr>
          <m:t>局部不满意率</m:t>
        </m:r>
        <m:r>
          <m:rPr>
            <m:sty m:val="p"/>
          </m:rPr>
          <w:rPr>
            <w:rFonts w:ascii="Cambria Math" w:hAnsi="Cambria Math" w:eastAsiaTheme="minorEastAsia"/>
            <w:lang w:val="en-US"/>
          </w:rPr>
          <m:t>（%）</m:t>
        </m:r>
        <m:r>
          <m:rPr>
            <m:sty m:val="p"/>
          </m:rPr>
          <w:rPr>
            <w:rFonts w:hint="eastAsia" w:ascii="Cambria Math" w:hAnsi="Cambria Math" w:eastAsiaTheme="minorEastAsia"/>
            <w:lang w:val="en-US"/>
          </w:rPr>
          <m:t>；</m:t>
        </m:r>
      </m:oMath>
    </w:p>
    <w:p>
      <w:pPr>
        <w:pStyle w:val="3"/>
        <w:ind w:left="567" w:leftChars="270" w:firstLine="0" w:firstLineChars="0"/>
        <w:jc w:val="left"/>
        <w:rPr>
          <w:sz w:val="28"/>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a,v</m:t>
            </m:r>
            <m:ctrlPr>
              <w:rPr>
                <w:rFonts w:ascii="Cambria Math" w:hAnsi="Cambria Math"/>
                <w:i/>
              </w:rPr>
            </m:ctrlPr>
          </m:sub>
        </m:sSub>
        <m:r>
          <m:rPr/>
          <w:rPr>
            <w:rFonts w:hint="eastAsia" w:ascii="Cambria Math" w:hAnsi="Cambria Math"/>
            <w:sz w:val="28"/>
            <w:lang w:val="en-US"/>
          </w:rPr>
          <m:t>——</m:t>
        </m:r>
      </m:oMath>
      <w:r>
        <w:rPr>
          <w:rFonts w:hint="eastAsia"/>
          <w:lang w:val="en-US"/>
        </w:rPr>
        <w:t>头和脚踝之间的垂直空气温度差（℃）。</w:t>
      </w:r>
    </w:p>
    <w:p>
      <w:pPr>
        <w:pStyle w:val="5"/>
        <w:rPr>
          <w:rFonts w:asciiTheme="minorEastAsia" w:hAnsiTheme="minorEastAsia" w:eastAsiaTheme="minorEastAsia"/>
        </w:rPr>
      </w:pPr>
      <w:bookmarkStart w:id="54" w:name="_Toc27381"/>
      <w:r>
        <w:rPr>
          <w:rFonts w:hint="eastAsia" w:asciiTheme="minorEastAsia" w:hAnsiTheme="minorEastAsia" w:eastAsiaTheme="minorEastAsia"/>
        </w:rPr>
        <w:t>地板表面温度不满意率LPD3计算公式</w:t>
      </w:r>
      <w:bookmarkEnd w:id="54"/>
    </w:p>
    <w:p>
      <w:pPr>
        <w:pStyle w:val="3"/>
        <w:ind w:firstLine="480"/>
        <w:rPr>
          <w:i/>
          <w:lang w:val="en-US"/>
        </w:rPr>
      </w:pPr>
      <m:oMathPara>
        <m:oMath>
          <m:r>
            <m:rPr/>
            <w:rPr>
              <w:rFonts w:hint="eastAsia" w:ascii="Cambria Math" w:hAnsi="Cambria Math"/>
              <w:sz w:val="24"/>
              <w:szCs w:val="24"/>
            </w:rPr>
            <m:t>LP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r>
            <m:rPr/>
            <w:rPr>
              <w:rFonts w:ascii="Cambria Math" w:hAnsi="Cambria Math"/>
              <w:sz w:val="24"/>
              <w:szCs w:val="24"/>
            </w:rPr>
            <m:t>=100−94∙exp⁡(−1.387+0.118∙</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r>
            <m:rPr/>
            <w:rPr>
              <w:rFonts w:ascii="Cambria Math" w:hAnsi="Cambria Math"/>
              <w:sz w:val="24"/>
              <w:szCs w:val="24"/>
            </w:rPr>
            <m:t>−0.0025∙</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m:t>
          </m:r>
        </m:oMath>
      </m:oMathPara>
    </w:p>
    <w:p>
      <w:pPr>
        <w:pStyle w:val="3"/>
        <w:ind w:firstLine="420"/>
        <w:rPr>
          <w:sz w:val="24"/>
          <w:lang w:val="en-US"/>
        </w:rPr>
      </w:pPr>
      <w:r>
        <w:rPr>
          <w:rFonts w:hint="eastAsia"/>
          <w:lang w:val="en-US"/>
        </w:rPr>
        <w:t>式中：</w:t>
      </w:r>
      <m:oMath>
        <m:r>
          <m:rPr/>
          <w:rPr>
            <w:rFonts w:hint="eastAsia" w:ascii="Cambria Math" w:hAnsi="Cambria Math"/>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sz w:val="24"/>
          <w:lang w:val="en-US"/>
        </w:rPr>
        <w:t>——局部不满意率（%）；</w:t>
      </w:r>
    </w:p>
    <w:p>
      <w:pPr>
        <w:pStyle w:val="3"/>
        <w:ind w:left="426" w:leftChars="203" w:firstLine="0" w:firstLineChars="0"/>
        <w:rPr>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f</m:t>
            </m:r>
            <m:ctrlPr>
              <w:rPr>
                <w:rFonts w:ascii="Cambria Math" w:hAnsi="Cambria Math"/>
                <w:i/>
              </w:rPr>
            </m:ctrlPr>
          </m:sub>
        </m:sSub>
      </m:oMath>
      <w:r>
        <w:rPr>
          <w:rFonts w:hint="eastAsia"/>
          <w:lang w:val="en-US"/>
        </w:rPr>
        <w:t>——地板表面平均温度（℃）。</w:t>
      </w:r>
    </w:p>
    <w:p>
      <w:pPr>
        <w:pStyle w:val="2"/>
      </w:pPr>
      <w:bookmarkStart w:id="55" w:name="_Toc452108768"/>
      <w:bookmarkStart w:id="56" w:name="_Toc3745"/>
      <w:bookmarkStart w:id="57" w:name="_Toc23378"/>
      <w:r>
        <w:rPr>
          <w:rFonts w:hint="eastAsia"/>
        </w:rPr>
        <w:t>结果</w:t>
      </w:r>
      <w:r>
        <w:t>分析</w:t>
      </w:r>
      <w:bookmarkEnd w:id="55"/>
      <w:bookmarkEnd w:id="56"/>
      <w:bookmarkEnd w:id="57"/>
    </w:p>
    <w:p>
      <w:pPr>
        <w:pStyle w:val="3"/>
        <w:ind w:firstLine="420"/>
        <w:rPr>
          <w:lang w:val="en-US"/>
        </w:rPr>
      </w:pPr>
      <w:r>
        <w:rPr>
          <w:rFonts w:hint="eastAsia"/>
          <w:lang w:val="en-US"/>
        </w:rPr>
        <w:t>该项目基于</w:t>
      </w:r>
      <w:r>
        <w:rPr>
          <w:lang w:val="en-US"/>
        </w:rPr>
        <w:t>以下参数计算</w:t>
      </w:r>
      <w:r>
        <w:rPr>
          <w:rFonts w:hint="eastAsia"/>
          <w:lang w:val="en-US"/>
        </w:rPr>
        <w:t>室内温度场和速度场，再进行室内热湿环境整体评价指标和局部评价指标的计算。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1层-房间1007</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8"/>
    </w:tbl>
    <w:p>
      <w:pPr>
        <w:pStyle w:val="3"/>
        <w:ind w:firstLine="0" w:firstLineChars="0"/>
      </w:pPr>
    </w:p>
    <w:p>
      <w:pPr>
        <w:pStyle w:val="4"/>
      </w:pPr>
      <w:bookmarkStart w:id="59" w:name="_Toc11388"/>
      <w:r>
        <w:rPr>
          <w:rFonts w:hint="eastAsia"/>
        </w:rPr>
        <w:t>室内热湿环境整体评价指标</w:t>
      </w:r>
      <w:bookmarkEnd w:id="59"/>
    </w:p>
    <w:p>
      <w:pPr>
        <w:pStyle w:val="5"/>
      </w:pPr>
      <w:bookmarkStart w:id="60" w:name="_Toc27757"/>
      <w:r>
        <w:rPr>
          <w:rFonts w:hint="eastAsia"/>
        </w:rPr>
        <w:t>人行高度处分布图</w:t>
      </w:r>
      <w:bookmarkEnd w:id="60"/>
    </w:p>
    <w:p>
      <w:pPr>
        <w:pStyle w:val="3"/>
        <w:ind w:firstLine="420"/>
        <w:jc w:val="center"/>
        <w:rPr>
          <w:lang w:val="en-US"/>
        </w:rPr>
      </w:pPr>
      <w:bookmarkStart w:id="61" w:name="温度场分布"/>
      <w:bookmarkEnd w:id="61"/>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2" w:name="速度云图"/>
      <w:bookmarkEnd w:id="62"/>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63" w:name="流线图"/>
      <w:bookmarkEnd w:id="63"/>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pPr>
        <w:pStyle w:val="3"/>
        <w:ind w:firstLine="420"/>
        <w:jc w:val="center"/>
        <w:rPr>
          <w:lang w:val="en-US"/>
        </w:rPr>
      </w:pPr>
      <w:bookmarkStart w:id="65" w:name="PMV分布"/>
      <w:bookmarkEnd w:id="65"/>
      <w:r>
        <w:drawing>
          <wp:inline distT="0" distB="0" distL="0" distR="0">
            <wp:extent cx="5667375" cy="3524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pPr>
        <w:pStyle w:val="3"/>
        <w:ind w:firstLine="420"/>
        <w:jc w:val="center"/>
        <w:rPr>
          <w:lang w:val="en-US"/>
        </w:rPr>
      </w:pPr>
      <w:bookmarkStart w:id="66" w:name="PPD分布"/>
      <w:bookmarkEnd w:id="66"/>
      <w:r>
        <w:drawing>
          <wp:inline distT="0" distB="0" distL="0" distR="0">
            <wp:extent cx="5667375" cy="3524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7" w:name="LPD1分布"/>
      <w:bookmarkEnd w:id="67"/>
      <w:r>
        <w:drawing>
          <wp:inline distT="0" distB="0" distL="0" distR="0">
            <wp:extent cx="5667375" cy="3524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D1</w:t>
      </w:r>
      <w:r>
        <w:rPr>
          <w:rFonts w:hint="eastAsia" w:ascii="黑体" w:hAnsi="黑体" w:eastAsia="黑体"/>
          <w:sz w:val="20"/>
          <w:szCs w:val="20"/>
        </w:rPr>
        <w:t>分布</w:t>
      </w:r>
    </w:p>
    <w:p>
      <w:pPr>
        <w:pStyle w:val="3"/>
        <w:ind w:firstLine="420"/>
        <w:jc w:val="center"/>
      </w:pPr>
      <w:bookmarkStart w:id="68" w:name="LPD2分布"/>
      <w:bookmarkEnd w:id="68"/>
      <w:r>
        <w:drawing>
          <wp:inline distT="0" distB="0" distL="0" distR="0">
            <wp:extent cx="5667375" cy="3524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D2</w:t>
      </w:r>
      <w:r>
        <w:rPr>
          <w:rFonts w:hint="eastAsia" w:ascii="黑体" w:hAnsi="黑体" w:eastAsia="黑体"/>
          <w:sz w:val="20"/>
          <w:szCs w:val="20"/>
        </w:rPr>
        <w:t>分布</w:t>
      </w:r>
    </w:p>
    <w:p>
      <w:pPr>
        <w:pStyle w:val="3"/>
        <w:ind w:firstLine="420"/>
        <w:jc w:val="center"/>
      </w:pPr>
      <w:bookmarkStart w:id="69" w:name="LPD3分布"/>
      <w:bookmarkEnd w:id="69"/>
      <w:r>
        <w:drawing>
          <wp:inline distT="0" distB="0" distL="0" distR="0">
            <wp:extent cx="5667375" cy="3524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8</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D3</w:t>
      </w:r>
      <w:r>
        <w:rPr>
          <w:rFonts w:hint="eastAsia" w:ascii="黑体" w:hAnsi="黑体" w:eastAsia="黑体"/>
          <w:sz w:val="20"/>
          <w:szCs w:val="20"/>
        </w:rPr>
        <w:t>分布</w:t>
      </w:r>
    </w:p>
    <w:p>
      <w:pPr>
        <w:pStyle w:val="3"/>
        <w:ind w:firstLine="420"/>
        <w:jc w:val="center"/>
      </w:pPr>
      <w:bookmarkStart w:id="70" w:name="LPDL分布"/>
      <w:bookmarkEnd w:id="70"/>
      <w:r>
        <w:drawing>
          <wp:inline distT="0" distB="0" distL="0" distR="0">
            <wp:extent cx="5667375" cy="3524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9</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w:t>
      </w:r>
      <w:r>
        <w:rPr>
          <w:rFonts w:hint="eastAsia" w:ascii="黑体" w:hAnsi="黑体" w:eastAsia="黑体"/>
          <w:sz w:val="20"/>
          <w:szCs w:val="20"/>
        </w:rPr>
        <w:t>等级分布</w:t>
      </w:r>
    </w:p>
    <w:p>
      <w:pPr>
        <w:pStyle w:val="3"/>
        <w:ind w:firstLine="420"/>
        <w:jc w:val="center"/>
      </w:pPr>
    </w:p>
    <w:p>
      <w:pPr>
        <w:pStyle w:val="3"/>
        <w:ind w:firstLine="420"/>
        <w:rPr>
          <w:lang w:val="en-US"/>
        </w:rPr>
      </w:pPr>
      <w:bookmarkStart w:id="71" w:name="结果分析"/>
      <w:bookmarkEnd w:id="71"/>
    </w:p>
    <w:p>
      <w:pPr>
        <w:pStyle w:val="5"/>
      </w:pPr>
      <w:bookmarkStart w:id="72" w:name="_Toc57236364"/>
      <w:bookmarkStart w:id="73" w:name="_Toc960"/>
      <w:r>
        <w:rPr>
          <w:rFonts w:hint="eastAsia"/>
        </w:rPr>
        <w:t>室内PMV与PPD达标</w:t>
      </w:r>
      <w:bookmarkEnd w:id="72"/>
      <w:r>
        <w:rPr>
          <w:rFonts w:hint="eastAsia"/>
        </w:rPr>
        <w:t>判定</w:t>
      </w:r>
      <w:bookmarkEnd w:id="73"/>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6.1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9889" w:type="dxa"/>
        <w:tblInd w:w="0" w:type="dxa"/>
        <w:tblLayout w:type="autofit"/>
        <w:tblCellMar>
          <w:top w:w="0" w:type="dxa"/>
          <w:left w:w="108" w:type="dxa"/>
          <w:bottom w:w="0" w:type="dxa"/>
          <w:right w:w="108" w:type="dxa"/>
        </w:tblCellMar>
      </w:tblPr>
      <w:tblGrid>
        <w:gridCol w:w="4184"/>
        <w:gridCol w:w="2693"/>
        <w:gridCol w:w="3012"/>
      </w:tblGrid>
      <w:tr>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1575" w:firstLineChars="750"/>
              <w:rPr>
                <w:rFonts w:ascii="Tahoma" w:hAnsi="Tahoma" w:cs="Tahoma"/>
                <w:color w:val="000000"/>
                <w:szCs w:val="21"/>
                <w:lang w:val="en-US"/>
              </w:rPr>
            </w:pPr>
            <w:r>
              <w:rPr>
                <w:rFonts w:ascii="Tahoma" w:hAnsi="Tahoma" w:cs="Tahoma"/>
                <w:color w:val="000000"/>
                <w:szCs w:val="21"/>
                <w:lang w:val="en-US"/>
              </w:rPr>
              <w:t>等级</w:t>
            </w:r>
          </w:p>
        </w:tc>
        <w:tc>
          <w:tcPr>
            <w:tcW w:w="570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整体评价指标</w:t>
            </w:r>
          </w:p>
        </w:tc>
      </w:tr>
      <w:tr>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Ⅰ</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PPD≤10％</w:t>
            </w:r>
          </w:p>
        </w:tc>
        <w:tc>
          <w:tcPr>
            <w:tcW w:w="301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－0.5≤PMV≤＋0.5</w:t>
            </w:r>
          </w:p>
        </w:tc>
      </w:tr>
      <w:tr>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Ⅱ</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10％＜PPD≤25％</w:t>
            </w:r>
          </w:p>
        </w:tc>
        <w:tc>
          <w:tcPr>
            <w:tcW w:w="301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－1≤PMV＜－0.5或＋0.5＜PMV≤＋1</w:t>
            </w:r>
          </w:p>
        </w:tc>
      </w:tr>
      <w:tr>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pPr>
              <w:spacing w:line="240" w:lineRule="auto"/>
              <w:ind w:left="-241" w:leftChars="-115" w:firstLine="1764" w:firstLineChars="840"/>
              <w:rPr>
                <w:rFonts w:ascii="Tahoma" w:hAnsi="Tahoma" w:cs="Tahoma"/>
                <w:color w:val="000000"/>
                <w:szCs w:val="21"/>
                <w:lang w:val="en-US"/>
              </w:rPr>
            </w:pPr>
            <w:r>
              <w:rPr>
                <w:rFonts w:ascii="宋体" w:hAnsi="宋体" w:cs="宋体"/>
                <w:color w:val="000000"/>
                <w:szCs w:val="21"/>
                <w:lang w:val="en-US"/>
              </w:rPr>
              <w:t>Ⅲ</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PPD＞25％</w:t>
            </w:r>
          </w:p>
        </w:tc>
        <w:tc>
          <w:tcPr>
            <w:tcW w:w="301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Cs w:val="21"/>
                <w:lang w:val="en-US"/>
              </w:rPr>
            </w:pPr>
            <w:r>
              <w:rPr>
                <w:rFonts w:ascii="Tahoma" w:hAnsi="Tahoma" w:cs="Tahoma"/>
                <w:color w:val="000000"/>
                <w:szCs w:val="21"/>
                <w:lang w:val="en-US"/>
              </w:rPr>
              <w:t>PMV＜－1或PMV＞＋1</w:t>
            </w:r>
          </w:p>
        </w:tc>
      </w:tr>
    </w:tbl>
    <w:p>
      <w:pPr>
        <w:pStyle w:val="3"/>
        <w:ind w:firstLine="0" w:firstLineChars="0"/>
        <w:jc w:val="left"/>
        <w:rPr>
          <w:color w:val="FF0000"/>
        </w:rPr>
      </w:pPr>
    </w:p>
    <w:p>
      <w:pPr>
        <w:pStyle w:val="3"/>
        <w:ind w:firstLine="0" w:firstLineChars="0"/>
        <w:jc w:val="center"/>
        <w:rPr>
          <w:rFonts w:ascii="宋体" w:hAnsi="宋体" w:cs="宋体"/>
          <w:b/>
          <w:bCs/>
          <w:color w:val="333333"/>
          <w:sz w:val="24"/>
          <w:szCs w:val="22"/>
          <w:lang w:val="en-US"/>
        </w:rPr>
      </w:pPr>
      <w:bookmarkStart w:id="74" w:name="统计计算表表头"/>
      <w:r>
        <w:rPr>
          <w:rFonts w:hint="eastAsia" w:ascii="微软雅黑" w:hAnsi="微软雅黑" w:eastAsia="微软雅黑"/>
          <w:b/>
        </w:rPr>
        <w:t>表6.1-2 建筑主要功能房间以及每套住宅PMV-PPD整体评价指标</w:t>
      </w:r>
      <w:bookmarkEnd w:id="74"/>
    </w:p>
    <w:p>
      <w:pPr>
        <w:spacing w:after="120"/>
        <w:rPr>
          <w:rFonts w:ascii="宋体" w:hAnsi="宋体" w:cs="宋体"/>
          <w:bCs/>
          <w:color w:val="333333"/>
          <w:szCs w:val="21"/>
          <w:lang w:val="en-US"/>
        </w:rPr>
      </w:pPr>
      <w:bookmarkStart w:id="75" w:name="达标统计表"/>
      <w:bookmarkEnd w:id="75"/>
    </w:p>
    <w:p>
      <w:pPr>
        <w:spacing w:after="120"/>
        <w:rPr>
          <w:szCs w:val="21"/>
          <w:lang w:val="en-US"/>
        </w:rPr>
      </w:pPr>
      <w:bookmarkStart w:id="76" w:name="达标统计表说明"/>
      <w:r>
        <w:rPr>
          <w:szCs w:val="21"/>
          <w:lang w:val="en-US"/>
        </w:rPr>
        <w:t>说明：房间的PMV-PPD值按照其绝对值在房间内的分布进行面积加权平均，建筑整体的PMV-PPD值按照建筑各主要功能房间的计算值进行面积加权平均得出。</w:t>
      </w:r>
      <w:bookmarkEnd w:id="76"/>
    </w:p>
    <w:p>
      <w:pPr>
        <w:pStyle w:val="4"/>
      </w:pPr>
      <w:bookmarkStart w:id="77" w:name="_Toc9218"/>
      <w:r>
        <w:rPr>
          <w:rFonts w:hint="eastAsia"/>
        </w:rPr>
        <w:t>室内热湿环境局部评价指标</w:t>
      </w:r>
      <w:bookmarkEnd w:id="77"/>
    </w:p>
    <w:p>
      <w:pPr>
        <w:pStyle w:val="3"/>
        <w:ind w:firstLine="420"/>
        <w:rPr>
          <w:lang w:val="en-US"/>
        </w:rPr>
      </w:pPr>
      <w:r>
        <w:rPr>
          <w:rFonts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p>
      <w:pPr>
        <w:pStyle w:val="3"/>
        <w:ind w:firstLine="420"/>
        <w:rPr>
          <w:lang w:val="en-US"/>
        </w:rPr>
      </w:pPr>
    </w:p>
    <w:tbl>
      <w:tblPr>
        <w:tblStyle w:val="21"/>
        <w:tblW w:w="9923" w:type="dxa"/>
        <w:tblInd w:w="-34" w:type="dxa"/>
        <w:tblLayout w:type="autofit"/>
        <w:tblCellMar>
          <w:top w:w="0" w:type="dxa"/>
          <w:left w:w="108" w:type="dxa"/>
          <w:bottom w:w="0" w:type="dxa"/>
          <w:right w:w="108" w:type="dxa"/>
        </w:tblCellMar>
      </w:tblPr>
      <w:tblGrid>
        <w:gridCol w:w="1364"/>
        <w:gridCol w:w="2464"/>
        <w:gridCol w:w="2977"/>
        <w:gridCol w:w="3118"/>
      </w:tblGrid>
      <w:tr>
        <w:tblPrEx>
          <w:tblCellMar>
            <w:top w:w="0" w:type="dxa"/>
            <w:left w:w="108" w:type="dxa"/>
            <w:bottom w:w="0" w:type="dxa"/>
            <w:right w:w="108" w:type="dxa"/>
          </w:tblCellMar>
        </w:tblPrEx>
        <w:trPr>
          <w:trHeight w:val="270" w:hRule="atLeast"/>
        </w:trPr>
        <w:tc>
          <w:tcPr>
            <w:tcW w:w="136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　等级</w:t>
            </w:r>
          </w:p>
        </w:tc>
        <w:tc>
          <w:tcPr>
            <w:tcW w:w="8559" w:type="dxa"/>
            <w:gridSpan w:val="3"/>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局部评价指标</w:t>
            </w:r>
          </w:p>
        </w:tc>
      </w:tr>
      <w:tr>
        <w:tblPrEx>
          <w:tblCellMar>
            <w:top w:w="0" w:type="dxa"/>
            <w:left w:w="108" w:type="dxa"/>
            <w:bottom w:w="0" w:type="dxa"/>
            <w:right w:w="108" w:type="dxa"/>
          </w:tblCellMar>
        </w:tblPrEx>
        <w:trPr>
          <w:trHeight w:val="270" w:hRule="atLeast"/>
        </w:trPr>
        <w:tc>
          <w:tcPr>
            <w:tcW w:w="1364" w:type="dxa"/>
            <w:vMerge w:val="continue"/>
            <w:tcBorders>
              <w:left w:val="single" w:color="auto" w:sz="4"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Cs w:val="21"/>
                <w:lang w:val="en-US"/>
              </w:rPr>
            </w:pPr>
          </w:p>
        </w:tc>
        <w:tc>
          <w:tcPr>
            <w:tcW w:w="2464" w:type="dxa"/>
            <w:tcBorders>
              <w:top w:val="nil"/>
              <w:left w:val="nil"/>
              <w:bottom w:val="single" w:color="auto" w:sz="4" w:space="0"/>
              <w:right w:val="single" w:color="auto" w:sz="4" w:space="0"/>
            </w:tcBorders>
            <w:shd w:val="clear" w:color="auto" w:fill="auto"/>
            <w:noWrap/>
            <w:vAlign w:val="center"/>
          </w:tcPr>
          <w:p>
            <w:pPr>
              <w:spacing w:line="240" w:lineRule="auto"/>
              <w:ind w:firstLine="105" w:firstLineChars="50"/>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冷吹风感</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p>
        </w:tc>
        <w:tc>
          <w:tcPr>
            <w:tcW w:w="297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垂直空气温度差</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p>
        </w:tc>
        <w:tc>
          <w:tcPr>
            <w:tcW w:w="31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地板表面温度</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p>
        </w:tc>
      </w:tr>
      <w:tr>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Ⅰ级</w:t>
            </w:r>
          </w:p>
        </w:tc>
        <w:tc>
          <w:tcPr>
            <w:tcW w:w="246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＜30%</w:t>
            </w:r>
          </w:p>
        </w:tc>
        <w:tc>
          <w:tcPr>
            <w:tcW w:w="297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＜10%</w:t>
            </w:r>
          </w:p>
        </w:tc>
        <w:tc>
          <w:tcPr>
            <w:tcW w:w="31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＜15%</w:t>
            </w:r>
          </w:p>
        </w:tc>
      </w:tr>
      <w:tr>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Ⅱ级</w:t>
            </w:r>
          </w:p>
        </w:tc>
        <w:tc>
          <w:tcPr>
            <w:tcW w:w="246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30%≤LPD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10%≤LPD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15%≤LPD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r>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Ⅲ级</w:t>
            </w:r>
          </w:p>
        </w:tc>
        <w:tc>
          <w:tcPr>
            <w:tcW w:w="246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bl>
    <w:p>
      <w:pPr>
        <w:pStyle w:val="3"/>
        <w:ind w:firstLine="0" w:firstLineChars="0"/>
        <w:jc w:val="center"/>
        <w:rPr>
          <w:rFonts w:ascii="宋体" w:hAnsi="宋体" w:cs="宋体"/>
          <w:b/>
          <w:bCs/>
          <w:color w:val="333333"/>
          <w:sz w:val="24"/>
          <w:szCs w:val="22"/>
          <w:lang w:val="en-US"/>
        </w:rPr>
      </w:pPr>
      <w:bookmarkStart w:id="78" w:name="统计计算表表头LPD"/>
      <w:bookmarkStart w:id="79" w:name="达标统计表LPD所有"/>
      <w:r>
        <w:rPr>
          <w:rFonts w:hint="eastAsia" w:ascii="微软雅黑" w:hAnsi="微软雅黑" w:eastAsia="微软雅黑"/>
          <w:b/>
        </w:rPr>
        <w:t>表6.2</w:t>
      </w:r>
      <w:r>
        <w:rPr>
          <w:rFonts w:ascii="微软雅黑" w:hAnsi="微软雅黑" w:eastAsia="微软雅黑"/>
          <w:b/>
        </w:rPr>
        <w:t>建筑主要功能房间以及每套住宅局部评价指标评价</w:t>
      </w:r>
      <w:bookmarkEnd w:id="78"/>
    </w:p>
    <w:p>
      <w:pPr>
        <w:spacing w:line="360" w:lineRule="exact"/>
        <w:rPr>
          <w:rFonts w:ascii="黑体" w:hAnsi="黑体" w:eastAsia="黑体"/>
          <w:szCs w:val="21"/>
          <w:lang w:val="en-US"/>
        </w:rPr>
      </w:pPr>
      <w:bookmarkStart w:id="80" w:name="达标统计表LPD"/>
      <w:bookmarkEnd w:id="80"/>
    </w:p>
    <w:p>
      <w:pPr>
        <w:spacing w:line="360" w:lineRule="exact"/>
        <w:rPr>
          <w:szCs w:val="21"/>
          <w:lang w:val="en-US"/>
        </w:rPr>
      </w:pPr>
      <w:r>
        <w:rPr>
          <w:szCs w:val="21"/>
          <w:lang w:val="en-US"/>
        </w:rPr>
        <w:t>说明：房间的LPD值按照其在房间的分布进行面积加权平均，建筑整体的局部评价指标值按照建筑各主要功能房间的计算值进行面积加权平均得出。</w:t>
      </w:r>
      <w:bookmarkEnd w:id="79"/>
    </w:p>
    <w:p>
      <w:pPr>
        <w:pStyle w:val="2"/>
      </w:pPr>
      <w:bookmarkStart w:id="81" w:name="_Toc3453"/>
      <w:r>
        <w:rPr>
          <w:rFonts w:hint="eastAsia"/>
        </w:rPr>
        <w:t>结论</w:t>
      </w:r>
      <w:bookmarkEnd w:id="81"/>
    </w:p>
    <w:p>
      <w:pPr>
        <w:pStyle w:val="3"/>
        <w:ind w:firstLine="420"/>
        <w:rPr>
          <w:lang w:val="en-US"/>
        </w:rPr>
      </w:pPr>
      <w:r>
        <w:rPr>
          <w:rFonts w:hint="eastAsia"/>
          <w:lang w:val="en-US"/>
        </w:rPr>
        <w:t>该建筑主要功能房间热湿环境整体评价</w:t>
      </w:r>
      <w:r>
        <w:rPr>
          <w:lang w:val="en-US"/>
        </w:rPr>
        <w:t>指标</w:t>
      </w:r>
      <w:r>
        <w:rPr>
          <w:rFonts w:hint="eastAsia"/>
          <w:lang w:val="en-US"/>
        </w:rPr>
        <w:t>PMV和PPD达到整体评价</w:t>
      </w:r>
      <w:bookmarkStart w:id="82" w:name="整体评价级别"/>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bookmarkEnd w:id="82"/>
      <w:r>
        <w:rPr>
          <w:rFonts w:hint="eastAsia"/>
          <w:lang w:val="en-US"/>
        </w:rPr>
        <w:t>级，根据标准6.2.</w:t>
      </w:r>
      <w:r>
        <w:rPr>
          <w:lang w:val="en-US"/>
        </w:rPr>
        <w:t>10</w:t>
      </w:r>
      <w:r>
        <w:rPr>
          <w:rFonts w:hint="eastAsia"/>
          <w:lang w:val="en-US"/>
        </w:rPr>
        <w:t>第1条，应得</w:t>
      </w:r>
      <w:bookmarkStart w:id="83" w:name="整体评价得分"/>
      <w:r>
        <w:rPr>
          <w:rFonts w:hint="eastAsia"/>
          <w:lang w:val="en-US"/>
        </w:rPr>
        <w:t>4</w:t>
      </w:r>
      <w:bookmarkEnd w:id="83"/>
      <w:r>
        <w:rPr>
          <w:rFonts w:hint="eastAsia"/>
          <w:lang w:val="en-US"/>
        </w:rPr>
        <w:t>分；</w:t>
      </w:r>
    </w:p>
    <w:p>
      <w:pPr>
        <w:pStyle w:val="3"/>
        <w:ind w:firstLine="420"/>
        <w:rPr>
          <w:lang w:val="en-US"/>
        </w:rPr>
      </w:pPr>
      <w:r>
        <w:rPr>
          <w:rFonts w:hint="eastAsia"/>
          <w:lang w:val="en-US"/>
        </w:rPr>
        <w:t>该建筑主要功能房间热湿环境局部评价</w:t>
      </w:r>
      <w:r>
        <w:rPr>
          <w:lang w:val="en-US"/>
        </w:rPr>
        <w:t>指标</w:t>
      </w:r>
      <w:r>
        <w:rPr>
          <w:rFonts w:hint="eastAsia"/>
          <w:lang w:val="en-US"/>
        </w:rPr>
        <w:t>LPD</w:t>
      </w:r>
      <w:r>
        <w:rPr>
          <w:rFonts w:hint="eastAsia" w:ascii="黑体" w:hAnsi="黑体" w:eastAsia="黑体"/>
          <w:sz w:val="32"/>
          <w:vertAlign w:val="subscript"/>
        </w:rPr>
        <w:t>1、</w:t>
      </w:r>
      <w:r>
        <w:rPr>
          <w:rFonts w:hint="eastAsia"/>
          <w:lang w:val="en-US"/>
        </w:rPr>
        <w:t>LPD</w:t>
      </w:r>
      <w:r>
        <w:rPr>
          <w:rFonts w:hint="eastAsia" w:ascii="黑体" w:hAnsi="黑体" w:eastAsia="黑体"/>
          <w:sz w:val="32"/>
          <w:vertAlign w:val="subscript"/>
          <w:lang w:val="en-US"/>
        </w:rPr>
        <w:t>2</w:t>
      </w:r>
      <w:r>
        <w:rPr>
          <w:rFonts w:hint="eastAsia" w:ascii="黑体" w:hAnsi="黑体" w:eastAsia="黑体"/>
          <w:sz w:val="32"/>
          <w:vertAlign w:val="subscript"/>
        </w:rPr>
        <w:t xml:space="preserve">、 </w:t>
      </w:r>
      <w:r>
        <w:rPr>
          <w:rFonts w:hint="eastAsia"/>
          <w:lang w:val="en-US"/>
        </w:rPr>
        <w:t>LPD</w:t>
      </w:r>
      <w:r>
        <w:rPr>
          <w:rFonts w:hint="eastAsia" w:ascii="黑体" w:hAnsi="黑体" w:eastAsia="黑体"/>
          <w:sz w:val="32"/>
          <w:vertAlign w:val="subscript"/>
        </w:rPr>
        <w:t>3</w:t>
      </w:r>
      <w:r>
        <w:rPr>
          <w:rFonts w:hint="eastAsia"/>
          <w:lang w:val="en-US"/>
        </w:rPr>
        <w:t>达到</w:t>
      </w:r>
      <w:bookmarkStart w:id="84" w:name="局部评价级别"/>
      <w:r>
        <w:t>Ⅰ</w:t>
      </w:r>
      <w:bookmarkEnd w:id="84"/>
      <w:bookmarkStart w:id="85" w:name="局部评价得分"/>
      <w:bookmarkEnd w:id="85"/>
    </w:p>
    <w:p>
      <w:pPr>
        <w:pStyle w:val="3"/>
        <w:ind w:firstLine="420"/>
        <w:rPr>
          <w:lang w:val="en-US"/>
        </w:rPr>
      </w:pPr>
      <w:bookmarkStart w:id="86" w:name="总得分"/>
      <w:bookmarkEnd w:id="86"/>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13</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YmM3YTNkMTYxOGIwNTk3MzI3ZGQzMTliZDUwY2UifQ=="/>
    <w:docVar w:name="KSO_WPS_MARK_KEY" w:val="5ac18119-fb4c-405b-8d72-74aaec6ef8d5"/>
  </w:docVars>
  <w:rsids>
    <w:rsidRoot w:val="20CB1CC2"/>
    <w:rsid w:val="00000112"/>
    <w:rsid w:val="00005045"/>
    <w:rsid w:val="0000578F"/>
    <w:rsid w:val="0001338C"/>
    <w:rsid w:val="0002001E"/>
    <w:rsid w:val="000219DF"/>
    <w:rsid w:val="00023AEA"/>
    <w:rsid w:val="00026604"/>
    <w:rsid w:val="00037A4C"/>
    <w:rsid w:val="00053666"/>
    <w:rsid w:val="00061E8B"/>
    <w:rsid w:val="000678A8"/>
    <w:rsid w:val="00067FD6"/>
    <w:rsid w:val="00070047"/>
    <w:rsid w:val="00073958"/>
    <w:rsid w:val="00081A16"/>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551"/>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83636"/>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0A53"/>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0A77"/>
    <w:rsid w:val="007A20AF"/>
    <w:rsid w:val="007A5318"/>
    <w:rsid w:val="007A53C1"/>
    <w:rsid w:val="007B0E10"/>
    <w:rsid w:val="007B2D7C"/>
    <w:rsid w:val="007B3311"/>
    <w:rsid w:val="007B61C5"/>
    <w:rsid w:val="007C15B9"/>
    <w:rsid w:val="007C24D5"/>
    <w:rsid w:val="007C4F93"/>
    <w:rsid w:val="007C7FC3"/>
    <w:rsid w:val="007D02FB"/>
    <w:rsid w:val="007D386E"/>
    <w:rsid w:val="007E5D0D"/>
    <w:rsid w:val="007E6E69"/>
    <w:rsid w:val="0080105D"/>
    <w:rsid w:val="008050B3"/>
    <w:rsid w:val="008116E2"/>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4AB3"/>
    <w:rsid w:val="009D02D7"/>
    <w:rsid w:val="009E2DE9"/>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66CB"/>
    <w:rsid w:val="00A67355"/>
    <w:rsid w:val="00A7462A"/>
    <w:rsid w:val="00A8181B"/>
    <w:rsid w:val="00A8393F"/>
    <w:rsid w:val="00A9025F"/>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B068C5"/>
    <w:rsid w:val="00B11FE8"/>
    <w:rsid w:val="00B121A8"/>
    <w:rsid w:val="00B13A4A"/>
    <w:rsid w:val="00B14131"/>
    <w:rsid w:val="00B16E7C"/>
    <w:rsid w:val="00B20DC9"/>
    <w:rsid w:val="00B25777"/>
    <w:rsid w:val="00B27308"/>
    <w:rsid w:val="00B32B1D"/>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86FAA"/>
    <w:rsid w:val="00C87AC6"/>
    <w:rsid w:val="00C976BE"/>
    <w:rsid w:val="00C97E25"/>
    <w:rsid w:val="00C97F88"/>
    <w:rsid w:val="00CA1378"/>
    <w:rsid w:val="00CB0266"/>
    <w:rsid w:val="00CB0F5E"/>
    <w:rsid w:val="00CB2732"/>
    <w:rsid w:val="00CB5324"/>
    <w:rsid w:val="00CD1D09"/>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C7F"/>
    <w:rsid w:val="00D9645E"/>
    <w:rsid w:val="00DA0532"/>
    <w:rsid w:val="00DA4173"/>
    <w:rsid w:val="00DA66B2"/>
    <w:rsid w:val="00DB09A4"/>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60D6"/>
    <w:rsid w:val="00E70F7F"/>
    <w:rsid w:val="00E71990"/>
    <w:rsid w:val="00E7640D"/>
    <w:rsid w:val="00E81ACD"/>
    <w:rsid w:val="00E872A7"/>
    <w:rsid w:val="00E90F14"/>
    <w:rsid w:val="00E91454"/>
    <w:rsid w:val="00EA58C9"/>
    <w:rsid w:val="00EA5DEE"/>
    <w:rsid w:val="00EB07D7"/>
    <w:rsid w:val="00EB1BD1"/>
    <w:rsid w:val="00EB6181"/>
    <w:rsid w:val="00EB67C0"/>
    <w:rsid w:val="00EC43F8"/>
    <w:rsid w:val="00EC658F"/>
    <w:rsid w:val="00EC749D"/>
    <w:rsid w:val="00ED6BB7"/>
    <w:rsid w:val="00EE1BA7"/>
    <w:rsid w:val="00EE68A9"/>
    <w:rsid w:val="00EE7411"/>
    <w:rsid w:val="00EF3DA5"/>
    <w:rsid w:val="00EF60A9"/>
    <w:rsid w:val="00EF6457"/>
    <w:rsid w:val="00EF7114"/>
    <w:rsid w:val="00EF7501"/>
    <w:rsid w:val="00F0656F"/>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E2E78"/>
    <w:rsid w:val="00FE46F3"/>
    <w:rsid w:val="00FE4CC4"/>
    <w:rsid w:val="00FE79B9"/>
    <w:rsid w:val="00FF2243"/>
    <w:rsid w:val="00FF5A70"/>
    <w:rsid w:val="20CB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numbering" Target="numbering.xml"/><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wmf"/><Relationship Id="rId58" Type="http://schemas.openxmlformats.org/officeDocument/2006/relationships/oleObject" Target="embeddings/oleObject1.bin"/><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04;&#24314;&#2226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FFF-AFB6-479D-AAD8-970B3ED1F719}">
  <ds:schemaRefs/>
</ds:datastoreItem>
</file>

<file path=docProps/app.xml><?xml version="1.0" encoding="utf-8"?>
<Properties xmlns="http://schemas.openxmlformats.org/officeDocument/2006/extended-properties" xmlns:vt="http://schemas.openxmlformats.org/officeDocument/2006/docPropsVTypes">
  <Template>tmp3.dotx</Template>
  <Pages>20</Pages>
  <Words>3536</Words>
  <Characters>4350</Characters>
  <Lines>46</Lines>
  <Paragraphs>13</Paragraphs>
  <TotalTime>2</TotalTime>
  <ScaleCrop>false</ScaleCrop>
  <LinksUpToDate>false</LinksUpToDate>
  <CharactersWithSpaces>7038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2025-03-13T13:06:00Z</dcterms:created>
  <dc:creator>.</dc:creator>
  <cp:lastModifiedBy>.</cp:lastModifiedBy>
  <dcterms:modified xsi:type="dcterms:W3CDTF">2025-03-13T13:08:43Z</dcterms:modified>
  <dc:title>健康建筑室内热湿环境达标报告书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4501CC5D2322499E9B5CB08640B47A77</vt:lpwstr>
  </property>
  <property fmtid="{D5CDD505-2E9C-101B-9397-08002B2CF9AE}" pid="3" name="KSOProductBuildVer">
    <vt:lpwstr>2052-11.1.0.12165</vt:lpwstr>
  </property>
</Properties>
</file>