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0145" w14:textId="362D11C7" w:rsidR="00000000" w:rsidRDefault="00C92DA5">
      <w:pPr>
        <w:spacing w:before="1540" w:after="240"/>
        <w:jc w:val="center"/>
      </w:pPr>
      <w:r>
        <w:rPr>
          <w:noProof/>
        </w:rPr>
        <w:drawing>
          <wp:inline distT="0" distB="0" distL="0" distR="0" wp14:anchorId="540FA550" wp14:editId="0930F4D4">
            <wp:extent cx="1415415" cy="751840"/>
            <wp:effectExtent l="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5415" cy="751840"/>
                    </a:xfrm>
                    <a:prstGeom prst="rect">
                      <a:avLst/>
                    </a:prstGeom>
                    <a:noFill/>
                    <a:ln>
                      <a:noFill/>
                    </a:ln>
                  </pic:spPr>
                </pic:pic>
              </a:graphicData>
            </a:graphic>
          </wp:inline>
        </w:drawing>
      </w:r>
    </w:p>
    <w:p w14:paraId="377674BB" w14:textId="77777777" w:rsidR="00000000" w:rsidRDefault="00000000">
      <w:pPr>
        <w:pBdr>
          <w:top w:val="single" w:sz="6" w:space="0" w:color="auto"/>
        </w:pBdr>
        <w:jc w:val="center"/>
        <w:rPr>
          <w:rFonts w:ascii="微软雅黑" w:eastAsia="微软雅黑" w:cs="微软雅黑"/>
          <w:b/>
          <w:bCs/>
          <w:sz w:val="52"/>
          <w:szCs w:val="52"/>
        </w:rPr>
      </w:pPr>
      <w:r>
        <w:rPr>
          <w:rFonts w:ascii="微软雅黑" w:eastAsia="微软雅黑" w:cs="微软雅黑" w:hint="eastAsia"/>
          <w:b/>
          <w:bCs/>
          <w:sz w:val="52"/>
          <w:szCs w:val="52"/>
        </w:rPr>
        <w:t>绿色建筑室内构件隔声</w:t>
      </w:r>
    </w:p>
    <w:p w14:paraId="5668FA68" w14:textId="77777777" w:rsidR="00000000" w:rsidRDefault="00000000">
      <w:pPr>
        <w:pBdr>
          <w:bottom w:val="single" w:sz="6" w:space="0" w:color="auto"/>
        </w:pBdr>
        <w:jc w:val="center"/>
        <w:rPr>
          <w:rFonts w:ascii="微软雅黑" w:eastAsia="微软雅黑" w:cs="微软雅黑"/>
          <w:b/>
          <w:bCs/>
          <w:sz w:val="52"/>
          <w:szCs w:val="52"/>
        </w:rPr>
      </w:pPr>
      <w:r>
        <w:rPr>
          <w:rFonts w:ascii="微软雅黑" w:eastAsia="微软雅黑" w:cs="微软雅黑" w:hint="eastAsia"/>
          <w:b/>
          <w:bCs/>
          <w:sz w:val="52"/>
          <w:szCs w:val="52"/>
        </w:rPr>
        <w:t>模拟分析报告</w:t>
      </w:r>
    </w:p>
    <w:p w14:paraId="145B44C5" w14:textId="77777777" w:rsidR="00000000" w:rsidRDefault="00000000">
      <w:pPr>
        <w:jc w:val="center"/>
        <w:rPr>
          <w:rFonts w:ascii="微软雅黑" w:eastAsia="微软雅黑" w:cs="微软雅黑"/>
          <w:sz w:val="28"/>
          <w:szCs w:val="28"/>
        </w:rPr>
      </w:pPr>
      <w:r>
        <w:rPr>
          <w:rFonts w:ascii="微软雅黑" w:eastAsia="微软雅黑" w:cs="微软雅黑" w:hint="eastAsia"/>
          <w:sz w:val="28"/>
          <w:szCs w:val="28"/>
        </w:rPr>
        <w:t>社区服务中心</w:t>
      </w:r>
    </w:p>
    <w:p w14:paraId="0C69FD01" w14:textId="424131C9" w:rsidR="00000000" w:rsidRDefault="00C92DA5">
      <w:pPr>
        <w:spacing w:before="480"/>
        <w:jc w:val="center"/>
      </w:pPr>
      <w:r>
        <w:rPr>
          <w:noProof/>
        </w:rPr>
        <w:drawing>
          <wp:inline distT="0" distB="0" distL="0" distR="0" wp14:anchorId="7745C414" wp14:editId="56597DF0">
            <wp:extent cx="761365" cy="478155"/>
            <wp:effectExtent l="0" t="0" r="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365" cy="478155"/>
                    </a:xfrm>
                    <a:prstGeom prst="rect">
                      <a:avLst/>
                    </a:prstGeom>
                    <a:noFill/>
                    <a:ln>
                      <a:noFill/>
                    </a:ln>
                  </pic:spPr>
                </pic:pic>
              </a:graphicData>
            </a:graphic>
          </wp:inline>
        </w:drawing>
      </w:r>
    </w:p>
    <w:p w14:paraId="591BD51F" w14:textId="77777777" w:rsidR="00000000" w:rsidRDefault="00000000">
      <w:pPr>
        <w:framePr w:w="8305" w:h="3720" w:hRule="exact" w:wrap="auto" w:hAnchor="margin" w:x="1" w:y="1023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计算软件：</w:t>
      </w:r>
      <w:r>
        <w:rPr>
          <w:rFonts w:ascii="微软雅黑" w:eastAsia="微软雅黑" w:cs="微软雅黑"/>
          <w:spacing w:val="20"/>
        </w:rPr>
        <w:tab/>
      </w:r>
      <w:r>
        <w:rPr>
          <w:rFonts w:ascii="微软雅黑" w:eastAsia="微软雅黑" w:cs="微软雅黑" w:hint="eastAsia"/>
          <w:spacing w:val="20"/>
        </w:rPr>
        <w:t>建筑声环境模拟分析软件PKPM-Sound</w:t>
      </w:r>
    </w:p>
    <w:p w14:paraId="1BCBE439" w14:textId="77777777" w:rsidR="00000000" w:rsidRDefault="00000000">
      <w:pPr>
        <w:framePr w:w="8305" w:h="3720" w:hRule="exact" w:wrap="auto" w:hAnchor="margin" w:x="1" w:y="10238"/>
        <w:tabs>
          <w:tab w:val="left" w:pos="2700"/>
        </w:tabs>
        <w:spacing w:before="100" w:after="100"/>
        <w:ind w:left="1200"/>
        <w:rPr>
          <w:rFonts w:ascii="微软雅黑" w:eastAsia="微软雅黑" w:cs="微软雅黑"/>
          <w:spacing w:val="20"/>
        </w:rPr>
      </w:pPr>
      <w:r>
        <w:rPr>
          <w:rFonts w:ascii="微软雅黑" w:eastAsia="微软雅黑" w:cs="微软雅黑"/>
          <w:spacing w:val="20"/>
        </w:rPr>
        <w:tab/>
      </w:r>
      <w:r>
        <w:rPr>
          <w:rFonts w:ascii="微软雅黑" w:eastAsia="微软雅黑" w:cs="微软雅黑" w:hint="eastAsia"/>
          <w:spacing w:val="20"/>
        </w:rPr>
        <w:t>绿色建筑室内构件隔声性能分析模块</w:t>
      </w:r>
    </w:p>
    <w:p w14:paraId="77FF3000" w14:textId="77777777" w:rsidR="00000000" w:rsidRDefault="00000000">
      <w:pPr>
        <w:framePr w:w="8305" w:h="3720" w:hRule="exact" w:wrap="auto" w:hAnchor="margin" w:x="1" w:y="1023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开发单位：</w:t>
      </w:r>
      <w:r>
        <w:rPr>
          <w:rFonts w:ascii="微软雅黑" w:eastAsia="微软雅黑" w:cs="微软雅黑"/>
          <w:spacing w:val="20"/>
        </w:rPr>
        <w:tab/>
      </w:r>
      <w:r>
        <w:rPr>
          <w:rFonts w:ascii="微软雅黑" w:eastAsia="微软雅黑" w:cs="微软雅黑" w:hint="eastAsia"/>
          <w:spacing w:val="20"/>
        </w:rPr>
        <w:t>中国建筑科学研究院有限公司</w:t>
      </w:r>
    </w:p>
    <w:p w14:paraId="13E17347" w14:textId="77777777" w:rsidR="00000000" w:rsidRDefault="00000000">
      <w:pPr>
        <w:framePr w:w="8305" w:h="3720" w:hRule="exact" w:wrap="auto" w:hAnchor="margin" w:x="1" w:y="10238"/>
        <w:tabs>
          <w:tab w:val="left" w:pos="2700"/>
        </w:tabs>
        <w:spacing w:before="100" w:after="100"/>
        <w:ind w:left="1200"/>
        <w:rPr>
          <w:rFonts w:ascii="微软雅黑" w:eastAsia="微软雅黑" w:cs="微软雅黑"/>
          <w:spacing w:val="20"/>
        </w:rPr>
      </w:pPr>
      <w:r>
        <w:rPr>
          <w:rFonts w:ascii="微软雅黑" w:eastAsia="微软雅黑" w:cs="微软雅黑"/>
          <w:spacing w:val="20"/>
        </w:rPr>
        <w:tab/>
      </w:r>
      <w:r>
        <w:rPr>
          <w:rFonts w:ascii="微软雅黑" w:eastAsia="微软雅黑" w:cs="微软雅黑" w:hint="eastAsia"/>
          <w:spacing w:val="20"/>
        </w:rPr>
        <w:t>北京构力科技有限公司</w:t>
      </w:r>
    </w:p>
    <w:p w14:paraId="4B102742" w14:textId="77777777" w:rsidR="00000000" w:rsidRDefault="00000000">
      <w:pPr>
        <w:framePr w:w="8305" w:h="3720" w:hRule="exact" w:wrap="auto" w:hAnchor="margin" w:x="1" w:y="1023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应用版本：</w:t>
      </w:r>
      <w:r>
        <w:rPr>
          <w:rFonts w:ascii="微软雅黑" w:eastAsia="微软雅黑" w:cs="微软雅黑"/>
          <w:spacing w:val="20"/>
        </w:rPr>
        <w:tab/>
      </w:r>
      <w:r>
        <w:rPr>
          <w:rFonts w:ascii="微软雅黑" w:eastAsia="微软雅黑" w:cs="微软雅黑" w:hint="eastAsia"/>
          <w:spacing w:val="20"/>
        </w:rPr>
        <w:t>20240830</w:t>
      </w:r>
    </w:p>
    <w:p w14:paraId="45BEFF38" w14:textId="77777777" w:rsidR="00000000" w:rsidRDefault="00000000">
      <w:pPr>
        <w:framePr w:w="8305" w:h="3720" w:hRule="exact" w:wrap="auto" w:hAnchor="margin" w:x="1" w:y="10238"/>
        <w:tabs>
          <w:tab w:val="left" w:pos="2700"/>
        </w:tabs>
        <w:spacing w:before="100" w:after="100"/>
        <w:ind w:left="1200"/>
        <w:rPr>
          <w:rFonts w:ascii="微软雅黑" w:eastAsia="微软雅黑" w:cs="微软雅黑"/>
          <w:spacing w:val="20"/>
        </w:rPr>
      </w:pPr>
      <w:r>
        <w:rPr>
          <w:rFonts w:ascii="微软雅黑" w:eastAsia="微软雅黑" w:cs="微软雅黑" w:hint="eastAsia"/>
          <w:spacing w:val="20"/>
        </w:rPr>
        <w:t>计算时间：</w:t>
      </w:r>
      <w:r>
        <w:rPr>
          <w:rFonts w:ascii="微软雅黑" w:eastAsia="微软雅黑" w:cs="微软雅黑"/>
          <w:spacing w:val="20"/>
        </w:rPr>
        <w:tab/>
      </w:r>
      <w:r>
        <w:rPr>
          <w:rFonts w:ascii="微软雅黑" w:eastAsia="微软雅黑" w:cs="微软雅黑" w:hint="eastAsia"/>
          <w:spacing w:val="20"/>
        </w:rPr>
        <w:t>2024.12.23 13:53</w:t>
      </w:r>
    </w:p>
    <w:p w14:paraId="4B51E4EE" w14:textId="77777777" w:rsidR="00000000" w:rsidRDefault="00000000">
      <w:pPr>
        <w:spacing w:before="480"/>
        <w:jc w:val="center"/>
        <w:sectPr w:rsidR="00000000">
          <w:headerReference w:type="default" r:id="rId8"/>
          <w:footerReference w:type="default" r:id="rId9"/>
          <w:pgSz w:w="11905" w:h="16837"/>
          <w:pgMar w:top="1440" w:right="1800" w:bottom="1440" w:left="1800" w:header="720" w:footer="720" w:gutter="0"/>
          <w:pgNumType w:start="1"/>
          <w:cols w:space="720"/>
          <w:noEndnote/>
        </w:sectPr>
      </w:pPr>
    </w:p>
    <w:p w14:paraId="1FC85348" w14:textId="77777777" w:rsidR="00000000" w:rsidRDefault="00000000">
      <w:pPr>
        <w:pStyle w:val="1"/>
        <w:spacing w:before="300" w:after="300"/>
        <w:jc w:val="center"/>
        <w:rPr>
          <w:rFonts w:ascii="黑体" w:eastAsia="黑体" w:cs="黑体"/>
          <w:b/>
          <w:bCs/>
          <w:spacing w:val="20"/>
          <w:sz w:val="32"/>
          <w:szCs w:val="32"/>
        </w:rPr>
      </w:pPr>
      <w:r>
        <w:rPr>
          <w:rFonts w:ascii="黑体" w:eastAsia="黑体" w:cs="黑体" w:hint="eastAsia"/>
          <w:b/>
          <w:bCs/>
          <w:spacing w:val="20"/>
          <w:sz w:val="32"/>
          <w:szCs w:val="32"/>
        </w:rPr>
        <w:lastRenderedPageBreak/>
        <w:t>绿色建筑室内构件隔声计算分析报告</w:t>
      </w:r>
    </w:p>
    <w:p w14:paraId="632FBC4F"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项目名称：</w:t>
      </w:r>
      <w:r>
        <w:rPr>
          <w:rFonts w:ascii="微软雅黑" w:eastAsia="微软雅黑" w:cs="微软雅黑" w:hint="eastAsia"/>
          <w:spacing w:val="20"/>
          <w:sz w:val="22"/>
          <w:szCs w:val="22"/>
        </w:rPr>
        <w:t>社区服务中心</w:t>
      </w:r>
    </w:p>
    <w:p w14:paraId="395803A8"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项目地址：</w:t>
      </w:r>
      <w:r>
        <w:rPr>
          <w:rFonts w:ascii="微软雅黑" w:eastAsia="微软雅黑" w:cs="微软雅黑" w:hint="eastAsia"/>
          <w:spacing w:val="20"/>
          <w:sz w:val="22"/>
          <w:szCs w:val="22"/>
        </w:rPr>
        <w:t>天津天津</w:t>
      </w:r>
    </w:p>
    <w:p w14:paraId="00911F86"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建设单位：</w:t>
      </w:r>
    </w:p>
    <w:p w14:paraId="5A7302D6"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设计单位：</w:t>
      </w:r>
    </w:p>
    <w:p w14:paraId="0940BD90" w14:textId="77777777" w:rsidR="00000000" w:rsidRDefault="00000000">
      <w:pPr>
        <w:spacing w:before="20" w:after="20"/>
        <w:jc w:val="both"/>
        <w:rPr>
          <w:rFonts w:ascii="微软雅黑" w:eastAsia="微软雅黑" w:cs="微软雅黑"/>
          <w:spacing w:val="20"/>
          <w:sz w:val="22"/>
          <w:szCs w:val="22"/>
        </w:rPr>
      </w:pPr>
      <w:r>
        <w:rPr>
          <w:rFonts w:ascii="微软雅黑" w:eastAsia="微软雅黑" w:cs="微软雅黑" w:hint="eastAsia"/>
          <w:b/>
          <w:bCs/>
          <w:spacing w:val="20"/>
          <w:sz w:val="22"/>
          <w:szCs w:val="22"/>
        </w:rPr>
        <w:t>施工单位：</w:t>
      </w:r>
    </w:p>
    <w:p w14:paraId="13B4F8E2" w14:textId="77777777" w:rsidR="00000000" w:rsidRDefault="00000000">
      <w:pPr>
        <w:pStyle w:val="1"/>
        <w:spacing w:before="200" w:after="200"/>
        <w:jc w:val="both"/>
        <w:rPr>
          <w:rFonts w:ascii="华文中宋" w:eastAsia="华文中宋" w:cs="华文中宋"/>
          <w:b/>
          <w:bCs/>
          <w:spacing w:val="20"/>
        </w:rPr>
      </w:pPr>
      <w:r>
        <w:rPr>
          <w:rFonts w:ascii="华文中宋" w:eastAsia="华文中宋" w:cs="华文中宋" w:hint="eastAsia"/>
          <w:b/>
          <w:bCs/>
          <w:spacing w:val="20"/>
        </w:rPr>
        <w:t>规范标准参考依据：</w:t>
      </w:r>
    </w:p>
    <w:p w14:paraId="20BCB917"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1、《绿色建筑评价标准》GB/T 50378-2019</w:t>
      </w:r>
    </w:p>
    <w:p w14:paraId="031569AC"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2、《绿色建筑评价标准技术细则》2019</w:t>
      </w:r>
    </w:p>
    <w:p w14:paraId="67839571"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3、《民用建筑隔声设计规范》GB 50118-2010</w:t>
      </w:r>
    </w:p>
    <w:p w14:paraId="3E090577"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4、《建筑隔声评价标准》GB/T 50121-2005</w:t>
      </w:r>
    </w:p>
    <w:p w14:paraId="7B2388E8"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5、《建筑声学设计手册》（中国建筑工业出版社出版，中国建筑科学研究院建筑物理研究所主编，出版时间1987.07）</w:t>
      </w:r>
    </w:p>
    <w:p w14:paraId="1D4834F4"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6、《建筑隔声设计—空气声隔声技术》（中国建筑工业出版社出版，康玉成主编，出版时间：2004.10）</w:t>
      </w:r>
    </w:p>
    <w:p w14:paraId="7624341A"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7、《民用建筑热工设计规范》GB 50176-2016</w:t>
      </w:r>
    </w:p>
    <w:p w14:paraId="65EFC3E0" w14:textId="77777777" w:rsidR="00000000" w:rsidRDefault="00000000">
      <w:pPr>
        <w:spacing w:before="20" w:after="20"/>
        <w:jc w:val="both"/>
        <w:rPr>
          <w:rFonts w:ascii="华文中宋" w:eastAsia="华文中宋" w:cs="华文中宋"/>
          <w:spacing w:val="20"/>
          <w:sz w:val="21"/>
          <w:szCs w:val="21"/>
        </w:rPr>
      </w:pPr>
      <w:r>
        <w:rPr>
          <w:rFonts w:ascii="华文中宋" w:eastAsia="华文中宋" w:cs="华文中宋" w:hint="eastAsia"/>
          <w:spacing w:val="20"/>
          <w:sz w:val="21"/>
          <w:szCs w:val="21"/>
        </w:rPr>
        <w:t>8、《建筑隔声与吸声构造》08J931</w:t>
      </w:r>
    </w:p>
    <w:p w14:paraId="3A3A6116" w14:textId="77777777" w:rsidR="00000000" w:rsidRDefault="00000000">
      <w:pPr>
        <w:pStyle w:val="1"/>
        <w:spacing w:before="200" w:after="200"/>
        <w:jc w:val="both"/>
        <w:rPr>
          <w:rFonts w:ascii="微软雅黑" w:eastAsia="微软雅黑" w:cs="微软雅黑"/>
          <w:b/>
          <w:bCs/>
          <w:spacing w:val="20"/>
          <w:sz w:val="30"/>
          <w:szCs w:val="30"/>
        </w:rPr>
      </w:pPr>
      <w:r>
        <w:rPr>
          <w:rFonts w:ascii="华文中宋" w:eastAsia="华文中宋" w:cs="华文中宋"/>
          <w:spacing w:val="20"/>
          <w:sz w:val="21"/>
          <w:szCs w:val="21"/>
        </w:rPr>
        <w:br w:type="page"/>
      </w:r>
      <w:r>
        <w:rPr>
          <w:rFonts w:ascii="微软雅黑" w:eastAsia="微软雅黑" w:cs="微软雅黑" w:hint="eastAsia"/>
          <w:b/>
          <w:bCs/>
          <w:spacing w:val="20"/>
          <w:sz w:val="30"/>
          <w:szCs w:val="30"/>
        </w:rPr>
        <w:lastRenderedPageBreak/>
        <w:t>一、建筑概况</w:t>
      </w:r>
    </w:p>
    <w:p w14:paraId="6CAB545E"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1.1 </w:t>
      </w:r>
      <w:r>
        <w:rPr>
          <w:rFonts w:ascii="微软雅黑" w:eastAsia="微软雅黑" w:cs="微软雅黑" w:hint="eastAsia"/>
          <w:b/>
          <w:bCs/>
          <w:spacing w:val="20"/>
        </w:rPr>
        <w:t>基本信息</w:t>
      </w:r>
    </w:p>
    <w:p w14:paraId="03D09004"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城市：天津(北纬=39.00°, 东经=117.00°)</w:t>
      </w:r>
    </w:p>
    <w:p w14:paraId="73319249"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建筑类型：公建</w:t>
      </w:r>
    </w:p>
    <w:p w14:paraId="4FC5FA7F"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建筑朝向：南</w:t>
      </w:r>
    </w:p>
    <w:p w14:paraId="7927BD44"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建筑层数：地上2 层，地下0 层</w:t>
      </w:r>
    </w:p>
    <w:p w14:paraId="0494BF76" w14:textId="77777777" w:rsidR="00000000" w:rsidRDefault="00000000">
      <w:pPr>
        <w:spacing w:line="400" w:lineRule="atLeast"/>
        <w:jc w:val="both"/>
        <w:rPr>
          <w:rFonts w:ascii="微软雅黑" w:eastAsia="微软雅黑" w:cs="微软雅黑"/>
          <w:sz w:val="21"/>
          <w:szCs w:val="21"/>
        </w:rPr>
      </w:pPr>
      <w:r>
        <w:rPr>
          <w:rFonts w:ascii="微软雅黑" w:eastAsia="微软雅黑" w:cs="微软雅黑" w:hint="eastAsia"/>
          <w:sz w:val="21"/>
          <w:szCs w:val="21"/>
        </w:rPr>
        <w:t>建筑物高度：9.00 m</w:t>
      </w:r>
    </w:p>
    <w:p w14:paraId="5981B8C1"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1.2 </w:t>
      </w:r>
      <w:r>
        <w:rPr>
          <w:rFonts w:ascii="微软雅黑" w:eastAsia="微软雅黑" w:cs="微软雅黑" w:hint="eastAsia"/>
          <w:b/>
          <w:bCs/>
          <w:spacing w:val="20"/>
        </w:rPr>
        <w:t>层高汇总表</w:t>
      </w:r>
    </w:p>
    <w:p w14:paraId="6099A85E"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 </w:t>
      </w:r>
      <w:r>
        <w:rPr>
          <w:rFonts w:ascii="宋体" w:eastAsia="宋体" w:cs="宋体" w:hint="eastAsia"/>
          <w:sz w:val="20"/>
          <w:szCs w:val="20"/>
        </w:rPr>
        <w:t>层高汇总表</w:t>
      </w:r>
    </w:p>
    <w:tbl>
      <w:tblPr>
        <w:tblW w:w="0" w:type="auto"/>
        <w:jc w:val="center"/>
        <w:tblLayout w:type="fixed"/>
        <w:tblCellMar>
          <w:left w:w="100" w:type="dxa"/>
          <w:right w:w="100" w:type="dxa"/>
        </w:tblCellMar>
        <w:tblLook w:val="0000" w:firstRow="0" w:lastRow="0" w:firstColumn="0" w:lastColumn="0" w:noHBand="0" w:noVBand="0"/>
      </w:tblPr>
      <w:tblGrid>
        <w:gridCol w:w="3000"/>
        <w:gridCol w:w="3000"/>
        <w:gridCol w:w="2300"/>
      </w:tblGrid>
      <w:tr w:rsidR="00000000" w14:paraId="7E207631" w14:textId="77777777">
        <w:tblPrEx>
          <w:tblCellMar>
            <w:top w:w="0" w:type="dxa"/>
            <w:bottom w:w="0" w:type="dxa"/>
          </w:tblCellMar>
        </w:tblPrEx>
        <w:trPr>
          <w:jc w:val="center"/>
        </w:trPr>
        <w:tc>
          <w:tcPr>
            <w:tcW w:w="3000" w:type="dxa"/>
            <w:tcBorders>
              <w:top w:val="single" w:sz="4" w:space="0" w:color="auto"/>
              <w:left w:val="single" w:sz="4" w:space="0" w:color="auto"/>
              <w:bottom w:val="single" w:sz="4" w:space="0" w:color="auto"/>
              <w:right w:val="single" w:sz="4" w:space="0" w:color="auto"/>
            </w:tcBorders>
            <w:shd w:val="clear" w:color="auto" w:fill="AFAFAF"/>
            <w:vAlign w:val="center"/>
          </w:tcPr>
          <w:p w14:paraId="01DCF957"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标准层</w:t>
            </w:r>
          </w:p>
        </w:tc>
        <w:tc>
          <w:tcPr>
            <w:tcW w:w="3000" w:type="dxa"/>
            <w:tcBorders>
              <w:top w:val="single" w:sz="4" w:space="0" w:color="auto"/>
              <w:left w:val="single" w:sz="4" w:space="0" w:color="auto"/>
              <w:bottom w:val="single" w:sz="4" w:space="0" w:color="auto"/>
              <w:right w:val="single" w:sz="4" w:space="0" w:color="auto"/>
            </w:tcBorders>
            <w:shd w:val="clear" w:color="auto" w:fill="AFAFAF"/>
            <w:vAlign w:val="center"/>
          </w:tcPr>
          <w:p w14:paraId="15563442"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实际楼层</w:t>
            </w:r>
          </w:p>
        </w:tc>
        <w:tc>
          <w:tcPr>
            <w:tcW w:w="2300" w:type="dxa"/>
            <w:tcBorders>
              <w:top w:val="single" w:sz="4" w:space="0" w:color="auto"/>
              <w:left w:val="single" w:sz="4" w:space="0" w:color="auto"/>
              <w:bottom w:val="single" w:sz="4" w:space="0" w:color="auto"/>
              <w:right w:val="single" w:sz="4" w:space="0" w:color="auto"/>
            </w:tcBorders>
            <w:shd w:val="clear" w:color="auto" w:fill="AFAFAF"/>
            <w:vAlign w:val="center"/>
          </w:tcPr>
          <w:p w14:paraId="271F7D8E"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层高(m)</w:t>
            </w:r>
          </w:p>
        </w:tc>
      </w:tr>
      <w:tr w:rsidR="00000000" w14:paraId="6F140734" w14:textId="77777777">
        <w:tblPrEx>
          <w:tblCellMar>
            <w:top w:w="0" w:type="dxa"/>
            <w:bottom w:w="0" w:type="dxa"/>
          </w:tblCellMar>
        </w:tblPrEx>
        <w:trPr>
          <w:jc w:val="center"/>
        </w:trPr>
        <w:tc>
          <w:tcPr>
            <w:tcW w:w="3000" w:type="dxa"/>
            <w:tcBorders>
              <w:top w:val="single" w:sz="4" w:space="0" w:color="auto"/>
              <w:left w:val="single" w:sz="4" w:space="0" w:color="auto"/>
              <w:bottom w:val="single" w:sz="4" w:space="0" w:color="auto"/>
              <w:right w:val="single" w:sz="4" w:space="0" w:color="auto"/>
            </w:tcBorders>
            <w:vAlign w:val="center"/>
          </w:tcPr>
          <w:p w14:paraId="3E632C3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标准层1</w:t>
            </w:r>
          </w:p>
        </w:tc>
        <w:tc>
          <w:tcPr>
            <w:tcW w:w="3000" w:type="dxa"/>
            <w:tcBorders>
              <w:top w:val="single" w:sz="4" w:space="0" w:color="auto"/>
              <w:left w:val="single" w:sz="4" w:space="0" w:color="auto"/>
              <w:bottom w:val="single" w:sz="4" w:space="0" w:color="auto"/>
              <w:right w:val="single" w:sz="4" w:space="0" w:color="auto"/>
            </w:tcBorders>
            <w:vAlign w:val="center"/>
          </w:tcPr>
          <w:p w14:paraId="7DA306F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A-L01F</w:t>
            </w:r>
          </w:p>
        </w:tc>
        <w:tc>
          <w:tcPr>
            <w:tcW w:w="2300" w:type="dxa"/>
            <w:tcBorders>
              <w:top w:val="single" w:sz="4" w:space="0" w:color="auto"/>
              <w:left w:val="single" w:sz="4" w:space="0" w:color="auto"/>
              <w:bottom w:val="single" w:sz="4" w:space="0" w:color="auto"/>
              <w:right w:val="single" w:sz="4" w:space="0" w:color="auto"/>
            </w:tcBorders>
            <w:vAlign w:val="center"/>
          </w:tcPr>
          <w:p w14:paraId="724F80F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4.50</w:t>
            </w:r>
          </w:p>
        </w:tc>
      </w:tr>
      <w:tr w:rsidR="00000000" w14:paraId="550FB643" w14:textId="77777777">
        <w:tblPrEx>
          <w:tblCellMar>
            <w:top w:w="0" w:type="dxa"/>
            <w:bottom w:w="0" w:type="dxa"/>
          </w:tblCellMar>
        </w:tblPrEx>
        <w:trPr>
          <w:jc w:val="center"/>
        </w:trPr>
        <w:tc>
          <w:tcPr>
            <w:tcW w:w="3000" w:type="dxa"/>
            <w:tcBorders>
              <w:top w:val="single" w:sz="4" w:space="0" w:color="auto"/>
              <w:left w:val="single" w:sz="4" w:space="0" w:color="auto"/>
              <w:bottom w:val="single" w:sz="4" w:space="0" w:color="auto"/>
              <w:right w:val="single" w:sz="4" w:space="0" w:color="auto"/>
            </w:tcBorders>
            <w:vAlign w:val="center"/>
          </w:tcPr>
          <w:p w14:paraId="6E6556F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标准层2</w:t>
            </w:r>
          </w:p>
        </w:tc>
        <w:tc>
          <w:tcPr>
            <w:tcW w:w="3000" w:type="dxa"/>
            <w:tcBorders>
              <w:top w:val="single" w:sz="4" w:space="0" w:color="auto"/>
              <w:left w:val="single" w:sz="4" w:space="0" w:color="auto"/>
              <w:bottom w:val="single" w:sz="4" w:space="0" w:color="auto"/>
              <w:right w:val="single" w:sz="4" w:space="0" w:color="auto"/>
            </w:tcBorders>
            <w:vAlign w:val="center"/>
          </w:tcPr>
          <w:p w14:paraId="40C726E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A-L02F</w:t>
            </w:r>
          </w:p>
        </w:tc>
        <w:tc>
          <w:tcPr>
            <w:tcW w:w="2300" w:type="dxa"/>
            <w:tcBorders>
              <w:top w:val="single" w:sz="4" w:space="0" w:color="auto"/>
              <w:left w:val="single" w:sz="4" w:space="0" w:color="auto"/>
              <w:bottom w:val="single" w:sz="4" w:space="0" w:color="auto"/>
              <w:right w:val="single" w:sz="4" w:space="0" w:color="auto"/>
            </w:tcBorders>
            <w:vAlign w:val="center"/>
          </w:tcPr>
          <w:p w14:paraId="332CB45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4.50</w:t>
            </w:r>
          </w:p>
        </w:tc>
      </w:tr>
    </w:tbl>
    <w:p w14:paraId="56D012D0"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1.3 </w:t>
      </w:r>
      <w:r>
        <w:rPr>
          <w:rFonts w:ascii="微软雅黑" w:eastAsia="微软雅黑" w:cs="微软雅黑" w:hint="eastAsia"/>
          <w:b/>
          <w:bCs/>
          <w:spacing w:val="20"/>
        </w:rPr>
        <w:t>建筑轴测图</w:t>
      </w:r>
    </w:p>
    <w:p w14:paraId="076E93AD" w14:textId="7FA2E179" w:rsidR="00000000" w:rsidRDefault="00C92DA5">
      <w:pPr>
        <w:spacing w:before="20" w:after="20"/>
        <w:jc w:val="center"/>
      </w:pPr>
      <w:r>
        <w:rPr>
          <w:noProof/>
        </w:rPr>
        <w:drawing>
          <wp:inline distT="0" distB="0" distL="0" distR="0" wp14:anchorId="4A802CA6" wp14:editId="7BF4F689">
            <wp:extent cx="2200275" cy="1652270"/>
            <wp:effectExtent l="0" t="0" r="0"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652270"/>
                    </a:xfrm>
                    <a:prstGeom prst="rect">
                      <a:avLst/>
                    </a:prstGeom>
                    <a:noFill/>
                    <a:ln>
                      <a:noFill/>
                    </a:ln>
                  </pic:spPr>
                </pic:pic>
              </a:graphicData>
            </a:graphic>
          </wp:inline>
        </w:drawing>
      </w:r>
    </w:p>
    <w:p w14:paraId="38240CB8"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1 </w:t>
      </w:r>
      <w:r>
        <w:rPr>
          <w:rFonts w:ascii="宋体" w:eastAsia="宋体" w:cs="宋体" w:hint="eastAsia"/>
          <w:sz w:val="20"/>
          <w:szCs w:val="20"/>
        </w:rPr>
        <w:t>建筑轴测图</w:t>
      </w:r>
    </w:p>
    <w:p w14:paraId="5A08C383"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二、指标要求</w:t>
      </w:r>
    </w:p>
    <w:p w14:paraId="1D415C2C"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针对建筑室内构件隔声性能的评价标准主要为《绿色建筑评价标准》GB/T 50378-2019，建筑室内构件隔声的具体条文如下：</w:t>
      </w:r>
    </w:p>
    <w:p w14:paraId="6F79C6D1"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3.2.8条针对住宅建筑需要满足以下基本技术要求：对于绿色建筑二星级，室外与卧室之间的外墙、卧室与邻户卧室之间的分户墙（楼板）的空气声隔声性能以及卧室楼板的撞击声隔声性能达到低限标准和高要求标准限值的平均值；对于绿色建筑三星级，室外与卧室之间的外墙、卧室与邻户卧室之间的分户墙（楼板）的空气声隔声性能以及卧室楼板的撞击声隔声性能达到高要求标准限值。【基本技术要求】</w:t>
      </w:r>
    </w:p>
    <w:p w14:paraId="2DCD410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5.1.4 第2款 主要功能房间的外墙、隔墙、楼板和门窗的隔声性能应满足现行国家标准《民用建筑隔声设计规范》GB 50118中的低限要求。【控制项】</w:t>
      </w:r>
    </w:p>
    <w:p w14:paraId="3644822F"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lastRenderedPageBreak/>
        <w:t>5.2.7 主要功能房间的隔声性能良好，评价总分值为10分，并按下列规则分别评分并累计：【评分项】</w:t>
      </w:r>
    </w:p>
    <w:p w14:paraId="7D431A5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1 构件及相邻房间之间的空气声隔声性能达到现行国家标准《民用建筑隔声设计规范》GB 50118中的低限标准限值和高要求标准限值的平均值，得3分；达到高要求标准限值，得5分；</w:t>
      </w:r>
    </w:p>
    <w:p w14:paraId="1256709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2 楼板的撞击声隔声性能达到现行国家标准《民用建筑隔声设计规范》GB 50118中的低限标准限值和高要求标准限值的平均值，得3分；达到高要求标准限值，得5分。</w:t>
      </w:r>
    </w:p>
    <w:p w14:paraId="1929595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本建筑参考的建筑类型为商业建筑，根据《民用建筑隔声设计规范》GB 50118及《绿色建筑评价标准技术细则》2019的规定，针对5.1.4控制项及5.2.7评分项，预评价阶段，评价主要建筑构件的空气声隔声性能和撞击声隔声性能，其低限值如下表所示，高限值为低限值提高5dB。</w:t>
      </w:r>
    </w:p>
    <w:p w14:paraId="625569AC"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2 </w:t>
      </w:r>
      <w:r>
        <w:rPr>
          <w:rFonts w:ascii="宋体" w:eastAsia="宋体" w:cs="宋体" w:hint="eastAsia"/>
          <w:sz w:val="20"/>
          <w:szCs w:val="20"/>
        </w:rPr>
        <w:t>主要建筑构件空气声隔声低限值标准</w:t>
      </w:r>
    </w:p>
    <w:tbl>
      <w:tblPr>
        <w:tblW w:w="0" w:type="auto"/>
        <w:jc w:val="center"/>
        <w:tblLayout w:type="fixed"/>
        <w:tblCellMar>
          <w:left w:w="100" w:type="dxa"/>
          <w:right w:w="100" w:type="dxa"/>
        </w:tblCellMar>
        <w:tblLook w:val="0000" w:firstRow="0" w:lastRow="0" w:firstColumn="0" w:lastColumn="0" w:noHBand="0" w:noVBand="0"/>
      </w:tblPr>
      <w:tblGrid>
        <w:gridCol w:w="2750"/>
        <w:gridCol w:w="2750"/>
        <w:gridCol w:w="2750"/>
      </w:tblGrid>
      <w:tr w:rsidR="00C92DA5" w14:paraId="2BA61234" w14:textId="77777777" w:rsidTr="00C92DA5">
        <w:tblPrEx>
          <w:tblCellMar>
            <w:top w:w="0" w:type="dxa"/>
            <w:bottom w:w="0" w:type="dxa"/>
          </w:tblCellMar>
        </w:tblPrEx>
        <w:trPr>
          <w:jc w:val="center"/>
        </w:trPr>
        <w:tc>
          <w:tcPr>
            <w:tcW w:w="2750" w:type="dxa"/>
            <w:tcBorders>
              <w:top w:val="single" w:sz="4" w:space="0" w:color="auto"/>
              <w:left w:val="single" w:sz="4" w:space="0" w:color="auto"/>
              <w:bottom w:val="single" w:sz="4" w:space="0" w:color="auto"/>
              <w:right w:val="single" w:sz="4" w:space="0" w:color="auto"/>
            </w:tcBorders>
            <w:shd w:val="clear" w:color="auto" w:fill="AFAFAF"/>
            <w:vAlign w:val="center"/>
          </w:tcPr>
          <w:p w14:paraId="01C3CA1F"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构件/房间名称</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14:paraId="4F2DCA8C"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空气声隔声单值评价量+频谱修正量（dB）</w:t>
            </w:r>
          </w:p>
        </w:tc>
      </w:tr>
      <w:tr w:rsidR="00000000" w14:paraId="14317B94" w14:textId="77777777">
        <w:tblPrEx>
          <w:tblCellMar>
            <w:top w:w="0" w:type="dxa"/>
            <w:bottom w:w="0" w:type="dxa"/>
          </w:tblCellMar>
        </w:tblPrEx>
        <w:trPr>
          <w:jc w:val="center"/>
        </w:trPr>
        <w:tc>
          <w:tcPr>
            <w:tcW w:w="2750" w:type="dxa"/>
            <w:tcBorders>
              <w:top w:val="single" w:sz="4" w:space="0" w:color="auto"/>
              <w:left w:val="single" w:sz="4" w:space="0" w:color="auto"/>
              <w:bottom w:val="single" w:sz="4" w:space="0" w:color="auto"/>
              <w:right w:val="single" w:sz="4" w:space="0" w:color="auto"/>
            </w:tcBorders>
            <w:vAlign w:val="center"/>
          </w:tcPr>
          <w:p w14:paraId="1D151C6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健身中心、娱乐场所等与噪声敏感房间之间的隔墙、楼板</w:t>
            </w:r>
          </w:p>
        </w:tc>
        <w:tc>
          <w:tcPr>
            <w:tcW w:w="2750" w:type="dxa"/>
            <w:vMerge w:val="restart"/>
            <w:tcBorders>
              <w:top w:val="single" w:sz="4" w:space="0" w:color="auto"/>
              <w:left w:val="single" w:sz="4" w:space="0" w:color="auto"/>
              <w:bottom w:val="single" w:sz="4" w:space="0" w:color="auto"/>
              <w:right w:val="single" w:sz="4" w:space="0" w:color="auto"/>
            </w:tcBorders>
            <w:vAlign w:val="center"/>
          </w:tcPr>
          <w:p w14:paraId="4DEE4D4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 xml:space="preserve">计权隔声量+交通噪声频谱修正量Rw+Ctr </w:t>
            </w:r>
          </w:p>
        </w:tc>
        <w:tc>
          <w:tcPr>
            <w:tcW w:w="2750" w:type="dxa"/>
            <w:tcBorders>
              <w:top w:val="single" w:sz="4" w:space="0" w:color="auto"/>
              <w:left w:val="single" w:sz="4" w:space="0" w:color="auto"/>
              <w:bottom w:val="single" w:sz="4" w:space="0" w:color="auto"/>
              <w:right w:val="single" w:sz="4" w:space="0" w:color="auto"/>
            </w:tcBorders>
            <w:vAlign w:val="center"/>
          </w:tcPr>
          <w:p w14:paraId="4A17F57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＞55</w:t>
            </w:r>
          </w:p>
        </w:tc>
      </w:tr>
      <w:tr w:rsidR="00000000" w14:paraId="40983996" w14:textId="77777777">
        <w:tblPrEx>
          <w:tblCellMar>
            <w:top w:w="0" w:type="dxa"/>
            <w:bottom w:w="0" w:type="dxa"/>
          </w:tblCellMar>
        </w:tblPrEx>
        <w:trPr>
          <w:jc w:val="center"/>
        </w:trPr>
        <w:tc>
          <w:tcPr>
            <w:tcW w:w="2750" w:type="dxa"/>
            <w:tcBorders>
              <w:top w:val="single" w:sz="4" w:space="0" w:color="auto"/>
              <w:left w:val="single" w:sz="4" w:space="0" w:color="auto"/>
              <w:bottom w:val="single" w:sz="4" w:space="0" w:color="auto"/>
              <w:right w:val="single" w:sz="4" w:space="0" w:color="auto"/>
            </w:tcBorders>
            <w:vAlign w:val="center"/>
          </w:tcPr>
          <w:p w14:paraId="495E94F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购物中心、餐厅、会展中心等与噪声敏感房间之间的隔墙、楼板</w:t>
            </w:r>
          </w:p>
        </w:tc>
        <w:tc>
          <w:tcPr>
            <w:tcW w:w="2750" w:type="dxa"/>
            <w:vMerge/>
            <w:tcBorders>
              <w:top w:val="single" w:sz="4" w:space="0" w:color="auto"/>
              <w:left w:val="single" w:sz="4" w:space="0" w:color="auto"/>
              <w:bottom w:val="single" w:sz="4" w:space="0" w:color="auto"/>
              <w:right w:val="single" w:sz="4" w:space="0" w:color="auto"/>
            </w:tcBorders>
            <w:vAlign w:val="center"/>
          </w:tcPr>
          <w:p w14:paraId="4C85840C" w14:textId="77777777" w:rsidR="00000000" w:rsidRDefault="00000000">
            <w:pPr>
              <w:spacing w:before="25" w:after="25"/>
              <w:jc w:val="center"/>
              <w:rPr>
                <w:rFonts w:ascii="宋体" w:eastAsia="宋体" w:cs="宋体"/>
                <w:sz w:val="20"/>
                <w:szCs w:val="20"/>
              </w:rPr>
            </w:pPr>
          </w:p>
        </w:tc>
        <w:tc>
          <w:tcPr>
            <w:tcW w:w="2750" w:type="dxa"/>
            <w:tcBorders>
              <w:top w:val="single" w:sz="4" w:space="0" w:color="auto"/>
              <w:left w:val="single" w:sz="4" w:space="0" w:color="auto"/>
              <w:bottom w:val="single" w:sz="4" w:space="0" w:color="auto"/>
              <w:right w:val="single" w:sz="4" w:space="0" w:color="auto"/>
            </w:tcBorders>
            <w:vAlign w:val="center"/>
          </w:tcPr>
          <w:p w14:paraId="3927A2A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＞45</w:t>
            </w:r>
          </w:p>
        </w:tc>
      </w:tr>
    </w:tbl>
    <w:p w14:paraId="2AE60390"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3 </w:t>
      </w:r>
      <w:r>
        <w:rPr>
          <w:rFonts w:ascii="宋体" w:eastAsia="宋体" w:cs="宋体" w:hint="eastAsia"/>
          <w:sz w:val="20"/>
          <w:szCs w:val="20"/>
        </w:rPr>
        <w:t>楼板撞击声隔声限值标准</w:t>
      </w:r>
    </w:p>
    <w:tbl>
      <w:tblPr>
        <w:tblW w:w="0" w:type="auto"/>
        <w:jc w:val="center"/>
        <w:tblLayout w:type="fixed"/>
        <w:tblCellMar>
          <w:left w:w="100" w:type="dxa"/>
          <w:right w:w="100" w:type="dxa"/>
        </w:tblCellMar>
        <w:tblLook w:val="0000" w:firstRow="0" w:lastRow="0" w:firstColumn="0" w:lastColumn="0" w:noHBand="0" w:noVBand="0"/>
      </w:tblPr>
      <w:tblGrid>
        <w:gridCol w:w="2070"/>
        <w:gridCol w:w="2070"/>
        <w:gridCol w:w="2070"/>
        <w:gridCol w:w="2070"/>
      </w:tblGrid>
      <w:tr w:rsidR="00000000" w14:paraId="2930E4E7" w14:textId="77777777">
        <w:tblPrEx>
          <w:tblCellMar>
            <w:top w:w="0" w:type="dxa"/>
            <w:bottom w:w="0" w:type="dxa"/>
          </w:tblCellMar>
        </w:tblPrEx>
        <w:trPr>
          <w:jc w:val="center"/>
        </w:trPr>
        <w:tc>
          <w:tcPr>
            <w:tcW w:w="2070" w:type="dxa"/>
            <w:tcBorders>
              <w:top w:val="single" w:sz="4" w:space="0" w:color="auto"/>
              <w:left w:val="single" w:sz="4" w:space="0" w:color="auto"/>
              <w:bottom w:val="single" w:sz="4" w:space="0" w:color="auto"/>
              <w:right w:val="single" w:sz="4" w:space="0" w:color="auto"/>
            </w:tcBorders>
            <w:shd w:val="clear" w:color="auto" w:fill="AFAFAF"/>
            <w:vAlign w:val="center"/>
          </w:tcPr>
          <w:p w14:paraId="55237D82"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楼板部位</w:t>
            </w:r>
          </w:p>
        </w:tc>
        <w:tc>
          <w:tcPr>
            <w:tcW w:w="2070" w:type="dxa"/>
            <w:tcBorders>
              <w:top w:val="single" w:sz="4" w:space="0" w:color="auto"/>
              <w:left w:val="single" w:sz="4" w:space="0" w:color="auto"/>
              <w:bottom w:val="single" w:sz="4" w:space="0" w:color="auto"/>
              <w:right w:val="single" w:sz="4" w:space="0" w:color="auto"/>
            </w:tcBorders>
            <w:shd w:val="clear" w:color="auto" w:fill="AFAFAF"/>
            <w:vAlign w:val="center"/>
          </w:tcPr>
          <w:p w14:paraId="4D92C808"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撞击声隔声低限值（dB）</w:t>
            </w:r>
          </w:p>
        </w:tc>
        <w:tc>
          <w:tcPr>
            <w:tcW w:w="2070" w:type="dxa"/>
            <w:tcBorders>
              <w:top w:val="single" w:sz="4" w:space="0" w:color="auto"/>
              <w:left w:val="single" w:sz="4" w:space="0" w:color="auto"/>
              <w:bottom w:val="single" w:sz="4" w:space="0" w:color="auto"/>
              <w:right w:val="single" w:sz="4" w:space="0" w:color="auto"/>
            </w:tcBorders>
            <w:shd w:val="clear" w:color="auto" w:fill="AFAFAF"/>
            <w:vAlign w:val="center"/>
          </w:tcPr>
          <w:p w14:paraId="1310B2A6"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撞击声隔声平均限值（dB）</w:t>
            </w:r>
          </w:p>
        </w:tc>
        <w:tc>
          <w:tcPr>
            <w:tcW w:w="2070" w:type="dxa"/>
            <w:tcBorders>
              <w:top w:val="single" w:sz="4" w:space="0" w:color="auto"/>
              <w:left w:val="single" w:sz="4" w:space="0" w:color="auto"/>
              <w:bottom w:val="single" w:sz="4" w:space="0" w:color="auto"/>
              <w:right w:val="single" w:sz="4" w:space="0" w:color="auto"/>
            </w:tcBorders>
            <w:shd w:val="clear" w:color="auto" w:fill="AFAFAF"/>
            <w:vAlign w:val="center"/>
          </w:tcPr>
          <w:p w14:paraId="02A258AF"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撞击声隔声高限值（dB）</w:t>
            </w:r>
          </w:p>
        </w:tc>
      </w:tr>
      <w:tr w:rsidR="00000000" w14:paraId="4763367A" w14:textId="77777777">
        <w:tblPrEx>
          <w:tblCellMar>
            <w:top w:w="0" w:type="dxa"/>
            <w:bottom w:w="0" w:type="dxa"/>
          </w:tblCellMar>
        </w:tblPrEx>
        <w:trPr>
          <w:jc w:val="center"/>
        </w:trPr>
        <w:tc>
          <w:tcPr>
            <w:tcW w:w="2070" w:type="dxa"/>
            <w:tcBorders>
              <w:top w:val="single" w:sz="4" w:space="0" w:color="auto"/>
              <w:left w:val="single" w:sz="4" w:space="0" w:color="auto"/>
              <w:bottom w:val="single" w:sz="4" w:space="0" w:color="auto"/>
              <w:right w:val="single" w:sz="4" w:space="0" w:color="auto"/>
            </w:tcBorders>
            <w:vAlign w:val="center"/>
          </w:tcPr>
          <w:p w14:paraId="53CA35A8"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健身中心、娱乐场所等于噪声敏感房间之间的楼板</w:t>
            </w:r>
          </w:p>
        </w:tc>
        <w:tc>
          <w:tcPr>
            <w:tcW w:w="2070" w:type="dxa"/>
            <w:tcBorders>
              <w:top w:val="single" w:sz="4" w:space="0" w:color="auto"/>
              <w:left w:val="single" w:sz="4" w:space="0" w:color="auto"/>
              <w:bottom w:val="single" w:sz="4" w:space="0" w:color="auto"/>
              <w:right w:val="single" w:sz="4" w:space="0" w:color="auto"/>
            </w:tcBorders>
            <w:vAlign w:val="center"/>
          </w:tcPr>
          <w:p w14:paraId="0F79404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≤50</w:t>
            </w:r>
          </w:p>
        </w:tc>
        <w:tc>
          <w:tcPr>
            <w:tcW w:w="2070" w:type="dxa"/>
            <w:tcBorders>
              <w:top w:val="single" w:sz="4" w:space="0" w:color="auto"/>
              <w:left w:val="single" w:sz="4" w:space="0" w:color="auto"/>
              <w:bottom w:val="single" w:sz="4" w:space="0" w:color="auto"/>
              <w:right w:val="single" w:sz="4" w:space="0" w:color="auto"/>
            </w:tcBorders>
            <w:vAlign w:val="center"/>
          </w:tcPr>
          <w:p w14:paraId="39A4B4B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≤47.5</w:t>
            </w:r>
          </w:p>
        </w:tc>
        <w:tc>
          <w:tcPr>
            <w:tcW w:w="2070" w:type="dxa"/>
            <w:tcBorders>
              <w:top w:val="single" w:sz="4" w:space="0" w:color="auto"/>
              <w:left w:val="single" w:sz="4" w:space="0" w:color="auto"/>
              <w:bottom w:val="single" w:sz="4" w:space="0" w:color="auto"/>
              <w:right w:val="single" w:sz="4" w:space="0" w:color="auto"/>
            </w:tcBorders>
            <w:vAlign w:val="center"/>
          </w:tcPr>
          <w:p w14:paraId="7EB6D70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≤45</w:t>
            </w:r>
          </w:p>
        </w:tc>
      </w:tr>
    </w:tbl>
    <w:p w14:paraId="442DBC90"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三、模拟概述</w:t>
      </w:r>
    </w:p>
    <w:p w14:paraId="29A7BCC7"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3.1 </w:t>
      </w:r>
      <w:r>
        <w:rPr>
          <w:rFonts w:ascii="微软雅黑" w:eastAsia="微软雅黑" w:cs="微软雅黑" w:hint="eastAsia"/>
          <w:b/>
          <w:bCs/>
          <w:spacing w:val="20"/>
        </w:rPr>
        <w:t>原理概要</w:t>
      </w:r>
    </w:p>
    <w:p w14:paraId="2301D751"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声的传播途径大致可归纳为两大类：通过空气的传声和通过建筑结构的固体传声。在建筑声学中，把凡是通过空气传播而来的声音称为空气声，例如汽车声、飞机声等；把凡是通过建筑结构传播的由机械振动和物体撞击等引起的声音，称为固体声，如脚步声、撞击声等。建筑构件隔绝的若是空气声，则称为空气声隔绝；若隔绝的是固体声，则称为固体声隔绝。声音在房屋建筑中的传播，有许多不同的途径，如通过墙壁、门窗、楼板、基础及各种设备管道等。</w:t>
      </w:r>
    </w:p>
    <w:p w14:paraId="18ADFAAC"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在工程上，常用隔声量及来表示构件对空气声的隔绝能力，它与构件透射系数有如下关系：</w:t>
      </w:r>
    </w:p>
    <w:p w14:paraId="65764D75"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R</w:instrText>
      </w:r>
      <w:r>
        <w:rPr>
          <w:rFonts w:eastAsia="微软雅黑"/>
          <w:sz w:val="21"/>
          <w:szCs w:val="21"/>
        </w:rPr>
        <w:instrText xml:space="preserve"> = 101g\f(1, </w:instrText>
      </w:r>
      <w:r>
        <w:rPr>
          <w:rFonts w:eastAsia="微软雅黑"/>
          <w:i/>
          <w:iCs/>
          <w:sz w:val="21"/>
          <w:szCs w:val="21"/>
        </w:rPr>
        <w:instrText>τ</w:instrText>
      </w:r>
      <w:r>
        <w:rPr>
          <w:rFonts w:eastAsia="微软雅黑"/>
          <w:sz w:val="21"/>
          <w:szCs w:val="21"/>
        </w:rPr>
        <w:instrText>)</w:instrText>
      </w:r>
      <w:r>
        <w:rPr>
          <w:rFonts w:eastAsia="微软雅黑"/>
          <w:sz w:val="21"/>
          <w:szCs w:val="21"/>
        </w:rPr>
        <w:fldChar w:fldCharType="end"/>
      </w:r>
    </w:p>
    <w:p w14:paraId="06866B75"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2"/>
          <w:szCs w:val="22"/>
        </w:rPr>
        <w:lastRenderedPageBreak/>
        <w:t>τ</w:t>
      </w:r>
      <w:r>
        <w:rPr>
          <w:rFonts w:ascii="微软雅黑" w:eastAsia="微软雅黑" w:cs="微软雅黑" w:hint="eastAsia"/>
          <w:sz w:val="21"/>
          <w:szCs w:val="21"/>
        </w:rPr>
        <w:t>为构件的透射系数。</w:t>
      </w:r>
    </w:p>
    <w:p w14:paraId="6DD514D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可以看出，构件的透射系数越大，则隔声量越小，隔声性能越差；反之，透射系数越小，则隔声量越大，隔声性能越好。</w:t>
      </w:r>
    </w:p>
    <w:p w14:paraId="228D2B7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隔声构件按照不同的结构形式，有不同的隔声特性。对于隔墙（分户墙）设计上的措施，理论上采用高声阻、刚性、匀质密实的围护结构，如砖、混凝土等，其质量越大则振动越小，惰性抗力越大，使传声减小到最低程度，因而，密实而重质的材料隔声性能较好。</w:t>
      </w:r>
    </w:p>
    <w:p w14:paraId="1CC91FEB"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3.2 </w:t>
      </w:r>
      <w:r>
        <w:rPr>
          <w:rFonts w:ascii="微软雅黑" w:eastAsia="微软雅黑" w:cs="微软雅黑" w:hint="eastAsia"/>
          <w:b/>
          <w:bCs/>
          <w:spacing w:val="20"/>
        </w:rPr>
        <w:t>单层匀质密实墙的空气声隔绝</w:t>
      </w:r>
    </w:p>
    <w:p w14:paraId="6ADA29E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单层匀质密实墙的隔声性能和入射声波的频率有关，还取决于墙本身的面密度、劲度、材料的内阻尼，以及墙的边界条件等因素。典型的单层匀质密实墙的隔声频率特性曲线如图2所示。</w:t>
      </w:r>
    </w:p>
    <w:p w14:paraId="4E85565C" w14:textId="796ED12D" w:rsidR="00000000" w:rsidRDefault="00C92DA5">
      <w:pPr>
        <w:spacing w:before="20" w:after="20"/>
        <w:jc w:val="center"/>
      </w:pPr>
      <w:r>
        <w:rPr>
          <w:noProof/>
        </w:rPr>
        <w:drawing>
          <wp:inline distT="0" distB="0" distL="0" distR="0" wp14:anchorId="323DC009" wp14:editId="2FEB858A">
            <wp:extent cx="2854325" cy="2134870"/>
            <wp:effectExtent l="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325" cy="2134870"/>
                    </a:xfrm>
                    <a:prstGeom prst="rect">
                      <a:avLst/>
                    </a:prstGeom>
                    <a:noFill/>
                    <a:ln>
                      <a:noFill/>
                    </a:ln>
                  </pic:spPr>
                </pic:pic>
              </a:graphicData>
            </a:graphic>
          </wp:inline>
        </w:drawing>
      </w:r>
    </w:p>
    <w:p w14:paraId="6C4ED51F"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2 </w:t>
      </w:r>
      <w:r>
        <w:rPr>
          <w:rFonts w:ascii="宋体" w:eastAsia="宋体" w:cs="宋体" w:hint="eastAsia"/>
          <w:sz w:val="20"/>
          <w:szCs w:val="20"/>
        </w:rPr>
        <w:t>单层匀质墙典型隔声频率特性曲线</w:t>
      </w:r>
    </w:p>
    <w:p w14:paraId="2752EDF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从图2中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337FDF31"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3.3 </w:t>
      </w:r>
      <w:r>
        <w:rPr>
          <w:rFonts w:ascii="微软雅黑" w:eastAsia="微软雅黑" w:cs="微软雅黑" w:hint="eastAsia"/>
          <w:b/>
          <w:bCs/>
          <w:spacing w:val="20"/>
        </w:rPr>
        <w:t>多层复合板的设计要点</w:t>
      </w:r>
    </w:p>
    <w:p w14:paraId="4BA2390F"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现在的节能建筑一般采取多层复合墙板达到节能保温的效果，这同时也可以增加墙体的隔声性能。多层复合板的设计要点如下：</w:t>
      </w:r>
    </w:p>
    <w:p w14:paraId="2973E19F"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（1）多层复合板一般3～5层，在构造合理的条件下，相邻层间的材料尽量做成软硬结合形式。</w:t>
      </w:r>
    </w:p>
    <w:p w14:paraId="5DA35D3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（2）提高薄板的阻尼有助于改善隔声量。如在薄钢板上粘贴超过板厚三倍左右的沥青玻璃纤维或麻丝之类材料，对消弱共振频率和吻合效应有显著作用。</w:t>
      </w:r>
    </w:p>
    <w:p w14:paraId="5F3ADEC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（3）多孔材料本身的隔声能力差，但当这些材料和坚实材料组成多层复合板时，在它的表面抹一层不透气的粉刷层或粘一层轻薄的材料时，则可提高它的隔声性能。如5mm厚</w:t>
      </w:r>
      <w:r>
        <w:rPr>
          <w:rFonts w:ascii="微软雅黑" w:eastAsia="微软雅黑" w:cs="微软雅黑" w:hint="eastAsia"/>
          <w:sz w:val="21"/>
          <w:szCs w:val="21"/>
        </w:rPr>
        <w:lastRenderedPageBreak/>
        <w:t>的木丝板仅有的18分贝左右的隔声量，单面粉刷后，隔声量提高到24分贝左右，双面粉刷后隔声量可提高到30分贝左右。几种隔声结构隔声性能的实测结果如图3所示。</w:t>
      </w:r>
    </w:p>
    <w:p w14:paraId="7080E75B" w14:textId="77777777" w:rsidR="00000000" w:rsidRDefault="00000000">
      <w:pPr>
        <w:spacing w:line="400" w:lineRule="atLeast"/>
        <w:ind w:firstLine="420"/>
        <w:jc w:val="both"/>
        <w:rPr>
          <w:rFonts w:ascii="微软雅黑" w:eastAsia="微软雅黑" w:cs="微软雅黑"/>
          <w:sz w:val="21"/>
          <w:szCs w:val="21"/>
        </w:rPr>
      </w:pPr>
    </w:p>
    <w:p w14:paraId="1C388C51" w14:textId="24798C80" w:rsidR="00000000" w:rsidRDefault="00C92DA5">
      <w:pPr>
        <w:spacing w:before="20" w:after="20"/>
        <w:jc w:val="center"/>
      </w:pPr>
      <w:r>
        <w:rPr>
          <w:noProof/>
        </w:rPr>
        <w:drawing>
          <wp:inline distT="0" distB="0" distL="0" distR="0" wp14:anchorId="05FCEA0C" wp14:editId="6DE27A45">
            <wp:extent cx="4864735" cy="35972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4735" cy="3597275"/>
                    </a:xfrm>
                    <a:prstGeom prst="rect">
                      <a:avLst/>
                    </a:prstGeom>
                    <a:noFill/>
                    <a:ln>
                      <a:noFill/>
                    </a:ln>
                  </pic:spPr>
                </pic:pic>
              </a:graphicData>
            </a:graphic>
          </wp:inline>
        </w:drawing>
      </w:r>
    </w:p>
    <w:p w14:paraId="406BB573"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3 </w:t>
      </w:r>
      <w:r>
        <w:rPr>
          <w:rFonts w:ascii="宋体" w:eastAsia="宋体" w:cs="宋体" w:hint="eastAsia"/>
          <w:sz w:val="20"/>
          <w:szCs w:val="20"/>
        </w:rPr>
        <w:t>改善多孔材料的隔声特性实例</w:t>
      </w:r>
    </w:p>
    <w:p w14:paraId="7F1CD530"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3.4 </w:t>
      </w:r>
      <w:r>
        <w:rPr>
          <w:rFonts w:ascii="微软雅黑" w:eastAsia="微软雅黑" w:cs="微软雅黑" w:hint="eastAsia"/>
          <w:b/>
          <w:bCs/>
          <w:spacing w:val="20"/>
        </w:rPr>
        <w:t>质量定律</w:t>
      </w:r>
    </w:p>
    <w:p w14:paraId="102B9F8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如果把墙看成是无劲度、无阻尼的柔顺质量、且忽略墙的边界条件，则在声波垂直人射时，可从理论上得到墙的隔声量的计算式：</w:t>
      </w:r>
    </w:p>
    <w:p w14:paraId="7493D914"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R</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o</w:instrText>
      </w:r>
      <w:r>
        <w:rPr>
          <w:rFonts w:eastAsia="微软雅黑"/>
          <w:sz w:val="21"/>
          <w:szCs w:val="21"/>
        </w:rPr>
        <w:instrText>) = 10lg\b(1 + \b(\f(</w:instrText>
      </w:r>
      <w:r>
        <w:rPr>
          <w:rFonts w:eastAsia="微软雅黑"/>
          <w:i/>
          <w:iCs/>
          <w:sz w:val="21"/>
          <w:szCs w:val="21"/>
        </w:rPr>
        <w:instrText>πmf</w:instrText>
      </w:r>
      <w:r>
        <w:rPr>
          <w:rFonts w:eastAsia="微软雅黑"/>
          <w:sz w:val="21"/>
          <w:szCs w:val="21"/>
        </w:rPr>
        <w:instrText xml:space="preserve">, </w:instrText>
      </w:r>
      <w:r>
        <w:rPr>
          <w:rFonts w:eastAsia="微软雅黑"/>
          <w:i/>
          <w:iCs/>
          <w:sz w:val="21"/>
          <w:szCs w:val="21"/>
        </w:rPr>
        <w:instrText>ρ</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o</w:instrText>
      </w:r>
      <w:r>
        <w:rPr>
          <w:rFonts w:eastAsia="微软雅黑"/>
          <w:sz w:val="21"/>
          <w:szCs w:val="21"/>
        </w:rPr>
        <w:instrText>)</w:instrText>
      </w:r>
      <w:r>
        <w:rPr>
          <w:rFonts w:eastAsia="微软雅黑"/>
          <w:i/>
          <w:iCs/>
          <w:sz w:val="21"/>
          <w:szCs w:val="21"/>
        </w:rPr>
        <w:instrText>c</w:instrText>
      </w:r>
      <w:r>
        <w:rPr>
          <w:rFonts w:eastAsia="微软雅黑"/>
          <w:sz w:val="21"/>
          <w:szCs w:val="21"/>
        </w:rPr>
        <w:instrText>))\s(</w:instrText>
      </w:r>
      <w:r>
        <w:rPr>
          <w:rFonts w:eastAsia="微软雅黑"/>
          <w:sz w:val="14"/>
          <w:szCs w:val="14"/>
        </w:rPr>
        <w:instrText>2</w:instrText>
      </w:r>
      <w:r>
        <w:rPr>
          <w:rFonts w:eastAsia="微软雅黑"/>
          <w:sz w:val="21"/>
          <w:szCs w:val="21"/>
        </w:rPr>
        <w:instrText>,</w:instrText>
      </w:r>
      <w:r>
        <w:rPr>
          <w:rFonts w:eastAsia="微软雅黑"/>
          <w:i/>
          <w:iCs/>
          <w:sz w:val="14"/>
          <w:szCs w:val="14"/>
        </w:rPr>
        <w:instrText xml:space="preserve"> </w:instrText>
      </w:r>
      <w:r>
        <w:rPr>
          <w:rFonts w:eastAsia="微软雅黑"/>
          <w:sz w:val="21"/>
          <w:szCs w:val="21"/>
        </w:rPr>
        <w:instrText>))</w:instrText>
      </w:r>
      <w:r>
        <w:rPr>
          <w:rFonts w:eastAsia="微软雅黑"/>
          <w:sz w:val="21"/>
          <w:szCs w:val="21"/>
        </w:rPr>
        <w:fldChar w:fldCharType="end"/>
      </w:r>
    </w:p>
    <w:p w14:paraId="66FBC8B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式中：</w:t>
      </w:r>
      <w:r>
        <w:rPr>
          <w:rFonts w:eastAsia="微软雅黑"/>
          <w:i/>
          <w:iCs/>
          <w:sz w:val="21"/>
          <w:szCs w:val="21"/>
        </w:rPr>
        <w:t>m</w:t>
      </w:r>
      <w:r>
        <w:rPr>
          <w:rFonts w:ascii="微软雅黑" w:eastAsia="微软雅黑" w:cs="微软雅黑" w:hint="eastAsia"/>
          <w:sz w:val="21"/>
          <w:szCs w:val="21"/>
        </w:rPr>
        <w:t>——墙单位面积的质量，或称面密度，</w:t>
      </w:r>
      <w:r>
        <w:rPr>
          <w:rFonts w:eastAsia="微软雅黑"/>
          <w:sz w:val="21"/>
          <w:szCs w:val="21"/>
        </w:rPr>
        <w:fldChar w:fldCharType="begin"/>
      </w:r>
      <w:r>
        <w:rPr>
          <w:rFonts w:eastAsia="微软雅黑"/>
          <w:sz w:val="21"/>
          <w:szCs w:val="21"/>
        </w:rPr>
        <w:instrText>EQ kg/m\s(</w:instrText>
      </w:r>
      <w:r>
        <w:rPr>
          <w:rFonts w:eastAsia="微软雅黑"/>
          <w:sz w:val="14"/>
          <w:szCs w:val="14"/>
        </w:rPr>
        <w:instrText>2</w:instrText>
      </w:r>
      <w:r>
        <w:rPr>
          <w:rFonts w:eastAsia="微软雅黑"/>
          <w:sz w:val="21"/>
          <w:szCs w:val="21"/>
        </w:rPr>
        <w:instrText>,)</w:instrText>
      </w:r>
      <w:r>
        <w:rPr>
          <w:rFonts w:eastAsia="微软雅黑"/>
          <w:sz w:val="21"/>
          <w:szCs w:val="21"/>
        </w:rPr>
        <w:fldChar w:fldCharType="end"/>
      </w:r>
    </w:p>
    <w:p w14:paraId="644F85B8"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ρ</w:t>
      </w:r>
      <w:r>
        <w:rPr>
          <w:rFonts w:eastAsia="微软雅黑"/>
          <w:i/>
          <w:iCs/>
          <w:sz w:val="21"/>
          <w:szCs w:val="21"/>
          <w:vertAlign w:val="subscript"/>
        </w:rPr>
        <w:t>o</w:t>
      </w:r>
      <w:r>
        <w:rPr>
          <w:rFonts w:ascii="微软雅黑" w:eastAsia="微软雅黑" w:cs="微软雅黑" w:hint="eastAsia"/>
          <w:sz w:val="21"/>
          <w:szCs w:val="21"/>
        </w:rPr>
        <w:t>——空气密度，</w:t>
      </w:r>
      <w:r>
        <w:rPr>
          <w:rFonts w:eastAsia="微软雅黑"/>
          <w:sz w:val="21"/>
          <w:szCs w:val="21"/>
        </w:rPr>
        <w:fldChar w:fldCharType="begin"/>
      </w:r>
      <w:r>
        <w:rPr>
          <w:rFonts w:eastAsia="微软雅黑"/>
          <w:sz w:val="21"/>
          <w:szCs w:val="21"/>
        </w:rPr>
        <w:instrText>EQ kg/m\s(</w:instrText>
      </w:r>
      <w:r>
        <w:rPr>
          <w:rFonts w:eastAsia="微软雅黑"/>
          <w:sz w:val="14"/>
          <w:szCs w:val="14"/>
        </w:rPr>
        <w:instrText>2</w:instrText>
      </w:r>
      <w:r>
        <w:rPr>
          <w:rFonts w:eastAsia="微软雅黑"/>
          <w:sz w:val="21"/>
          <w:szCs w:val="21"/>
        </w:rPr>
        <w:instrText>,)</w:instrText>
      </w:r>
      <w:r>
        <w:rPr>
          <w:rFonts w:eastAsia="微软雅黑"/>
          <w:sz w:val="21"/>
          <w:szCs w:val="21"/>
        </w:rPr>
        <w:fldChar w:fldCharType="end"/>
      </w:r>
    </w:p>
    <w:p w14:paraId="59C9C600"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c</w:t>
      </w:r>
      <w:r>
        <w:rPr>
          <w:rFonts w:ascii="微软雅黑" w:eastAsia="微软雅黑" w:cs="微软雅黑" w:hint="eastAsia"/>
          <w:sz w:val="21"/>
          <w:szCs w:val="21"/>
        </w:rPr>
        <w:t>——空气中的声速，一般取</w:t>
      </w:r>
      <w:r>
        <w:rPr>
          <w:rFonts w:eastAsia="微软雅黑"/>
          <w:sz w:val="21"/>
          <w:szCs w:val="21"/>
        </w:rPr>
        <w:t>344 m/s</w:t>
      </w:r>
    </w:p>
    <w:p w14:paraId="2CBDC5E4"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f</w:t>
      </w:r>
      <w:r>
        <w:rPr>
          <w:rFonts w:ascii="微软雅黑" w:eastAsia="微软雅黑" w:cs="微软雅黑" w:hint="eastAsia"/>
          <w:sz w:val="21"/>
          <w:szCs w:val="21"/>
        </w:rPr>
        <w:t>——入射声波的频率，</w:t>
      </w:r>
      <w:r>
        <w:rPr>
          <w:rFonts w:eastAsia="微软雅黑"/>
          <w:sz w:val="21"/>
          <w:szCs w:val="21"/>
        </w:rPr>
        <w:t>Hz</w:t>
      </w:r>
    </w:p>
    <w:p w14:paraId="075D982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一般情况下，</w:t>
      </w: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πmf</w:instrText>
      </w:r>
      <w:r>
        <w:rPr>
          <w:rFonts w:eastAsia="微软雅黑"/>
          <w:sz w:val="21"/>
          <w:szCs w:val="21"/>
        </w:rPr>
        <w:instrText xml:space="preserve"> &gt; </w:instrText>
      </w:r>
      <w:r>
        <w:rPr>
          <w:rFonts w:eastAsia="微软雅黑"/>
          <w:i/>
          <w:iCs/>
          <w:sz w:val="21"/>
          <w:szCs w:val="21"/>
        </w:rPr>
        <w:instrText>ρ</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sz w:val="14"/>
          <w:szCs w:val="14"/>
        </w:rPr>
        <w:instrText>0</w:instrText>
      </w:r>
      <w:r>
        <w:rPr>
          <w:rFonts w:eastAsia="微软雅黑"/>
          <w:sz w:val="21"/>
          <w:szCs w:val="21"/>
        </w:rPr>
        <w:instrText>)</w:instrText>
      </w:r>
      <w:r>
        <w:rPr>
          <w:rFonts w:eastAsia="微软雅黑"/>
          <w:i/>
          <w:iCs/>
          <w:sz w:val="21"/>
          <w:szCs w:val="21"/>
        </w:rPr>
        <w:instrText>c</w:instrText>
      </w:r>
      <w:r>
        <w:rPr>
          <w:rFonts w:eastAsia="微软雅黑"/>
          <w:sz w:val="21"/>
          <w:szCs w:val="21"/>
        </w:rPr>
        <w:fldChar w:fldCharType="end"/>
      </w:r>
      <w:r>
        <w:rPr>
          <w:rFonts w:ascii="微软雅黑" w:eastAsia="微软雅黑" w:cs="微软雅黑" w:hint="eastAsia"/>
          <w:sz w:val="21"/>
          <w:szCs w:val="21"/>
        </w:rPr>
        <w:t>，即</w:t>
      </w: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πmf</w:instrText>
      </w:r>
      <w:r>
        <w:rPr>
          <w:rFonts w:eastAsia="微软雅黑"/>
          <w:sz w:val="21"/>
          <w:szCs w:val="21"/>
        </w:rPr>
        <w:instrText xml:space="preserve"> / </w:instrText>
      </w:r>
      <w:r>
        <w:rPr>
          <w:rFonts w:eastAsia="微软雅黑"/>
          <w:i/>
          <w:iCs/>
          <w:sz w:val="21"/>
          <w:szCs w:val="21"/>
        </w:rPr>
        <w:instrText>ρ</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sz w:val="14"/>
          <w:szCs w:val="14"/>
        </w:rPr>
        <w:instrText>0</w:instrText>
      </w:r>
      <w:r>
        <w:rPr>
          <w:rFonts w:eastAsia="微软雅黑"/>
          <w:sz w:val="21"/>
          <w:szCs w:val="21"/>
        </w:rPr>
        <w:instrText>)</w:instrText>
      </w:r>
      <w:r>
        <w:rPr>
          <w:rFonts w:eastAsia="微软雅黑"/>
          <w:i/>
          <w:iCs/>
          <w:sz w:val="21"/>
          <w:szCs w:val="21"/>
        </w:rPr>
        <w:instrText>c</w:instrText>
      </w:r>
      <w:r>
        <w:rPr>
          <w:rFonts w:eastAsia="微软雅黑"/>
          <w:sz w:val="21"/>
          <w:szCs w:val="21"/>
        </w:rPr>
        <w:instrText xml:space="preserve"> &gt; 1</w:instrText>
      </w:r>
      <w:r>
        <w:rPr>
          <w:rFonts w:eastAsia="微软雅黑"/>
          <w:sz w:val="21"/>
          <w:szCs w:val="21"/>
        </w:rPr>
        <w:fldChar w:fldCharType="end"/>
      </w:r>
      <w:r>
        <w:rPr>
          <w:rFonts w:ascii="微软雅黑" w:eastAsia="微软雅黑" w:cs="微软雅黑" w:hint="eastAsia"/>
          <w:sz w:val="21"/>
          <w:szCs w:val="21"/>
        </w:rPr>
        <w:t>，上式便可简化为：</w:t>
      </w:r>
    </w:p>
    <w:p w14:paraId="2CA26E87"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R</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o</w:instrText>
      </w:r>
      <w:r>
        <w:rPr>
          <w:rFonts w:eastAsia="微软雅黑"/>
          <w:sz w:val="21"/>
          <w:szCs w:val="21"/>
        </w:rPr>
        <w:instrText>) = 20lg\b(\f(</w:instrText>
      </w:r>
      <w:r>
        <w:rPr>
          <w:rFonts w:eastAsia="微软雅黑"/>
          <w:i/>
          <w:iCs/>
          <w:sz w:val="21"/>
          <w:szCs w:val="21"/>
        </w:rPr>
        <w:instrText>πmf</w:instrText>
      </w:r>
      <w:r>
        <w:rPr>
          <w:rFonts w:eastAsia="微软雅黑"/>
          <w:sz w:val="21"/>
          <w:szCs w:val="21"/>
        </w:rPr>
        <w:instrText>,</w:instrText>
      </w:r>
      <w:r>
        <w:rPr>
          <w:rFonts w:eastAsia="微软雅黑"/>
          <w:i/>
          <w:iCs/>
          <w:sz w:val="21"/>
          <w:szCs w:val="21"/>
        </w:rPr>
        <w:instrText>ρ</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o</w:instrText>
      </w:r>
      <w:r>
        <w:rPr>
          <w:rFonts w:eastAsia="微软雅黑"/>
          <w:sz w:val="21"/>
          <w:szCs w:val="21"/>
        </w:rPr>
        <w:instrText>)</w:instrText>
      </w:r>
      <w:r>
        <w:rPr>
          <w:rFonts w:eastAsia="微软雅黑"/>
          <w:i/>
          <w:iCs/>
          <w:sz w:val="21"/>
          <w:szCs w:val="21"/>
        </w:rPr>
        <w:instrText>c</w:instrText>
      </w:r>
      <w:r>
        <w:rPr>
          <w:rFonts w:eastAsia="微软雅黑"/>
          <w:sz w:val="21"/>
          <w:szCs w:val="21"/>
        </w:rPr>
        <w:instrText xml:space="preserve">)) </w:instrText>
      </w:r>
      <w:r>
        <w:rPr>
          <w:rFonts w:eastAsia="微软雅黑"/>
          <w:sz w:val="21"/>
          <w:szCs w:val="21"/>
        </w:rPr>
        <w:fldChar w:fldCharType="end"/>
      </w:r>
    </w:p>
    <w:p w14:paraId="6E76F586"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EQ = 20lg</w:instrText>
      </w:r>
      <w:r>
        <w:rPr>
          <w:rFonts w:eastAsia="微软雅黑"/>
          <w:i/>
          <w:iCs/>
          <w:sz w:val="21"/>
          <w:szCs w:val="21"/>
        </w:rPr>
        <w:instrText>m</w:instrText>
      </w:r>
      <w:r>
        <w:rPr>
          <w:rFonts w:eastAsia="微软雅黑"/>
          <w:sz w:val="21"/>
          <w:szCs w:val="21"/>
        </w:rPr>
        <w:instrText xml:space="preserve"> + 20lg</w:instrText>
      </w:r>
      <w:r>
        <w:rPr>
          <w:rFonts w:eastAsia="微软雅黑"/>
          <w:i/>
          <w:iCs/>
          <w:sz w:val="21"/>
          <w:szCs w:val="21"/>
        </w:rPr>
        <w:instrText>f</w:instrText>
      </w:r>
      <w:r>
        <w:rPr>
          <w:rFonts w:eastAsia="微软雅黑"/>
          <w:sz w:val="21"/>
          <w:szCs w:val="21"/>
        </w:rPr>
        <w:instrText xml:space="preserve"> - 43</w:instrText>
      </w:r>
      <w:r>
        <w:rPr>
          <w:rFonts w:eastAsia="微软雅黑"/>
          <w:sz w:val="21"/>
          <w:szCs w:val="21"/>
        </w:rPr>
        <w:fldChar w:fldCharType="end"/>
      </w:r>
    </w:p>
    <w:p w14:paraId="64B616A1"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如果声波并非垂直入射，而是无规入射时，则墙的隔声量为：</w:t>
      </w:r>
    </w:p>
    <w:p w14:paraId="388F0F8E"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R</w:instrText>
      </w:r>
      <w:r>
        <w:rPr>
          <w:rFonts w:eastAsia="微软雅黑"/>
          <w:sz w:val="21"/>
          <w:szCs w:val="21"/>
        </w:rPr>
        <w:instrText xml:space="preserve"> = </w:instrText>
      </w:r>
      <w:r>
        <w:rPr>
          <w:rFonts w:eastAsia="微软雅黑"/>
          <w:i/>
          <w:iCs/>
          <w:sz w:val="21"/>
          <w:szCs w:val="21"/>
        </w:rPr>
        <w:instrText>R</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sz w:val="14"/>
          <w:szCs w:val="14"/>
        </w:rPr>
        <w:instrText>0</w:instrText>
      </w:r>
      <w:r>
        <w:rPr>
          <w:rFonts w:eastAsia="微软雅黑"/>
          <w:sz w:val="21"/>
          <w:szCs w:val="21"/>
        </w:rPr>
        <w:instrText xml:space="preserve">) - 5 </w:instrText>
      </w:r>
      <w:r>
        <w:rPr>
          <w:rFonts w:eastAsia="微软雅黑"/>
          <w:sz w:val="21"/>
          <w:szCs w:val="21"/>
        </w:rPr>
        <w:fldChar w:fldCharType="end"/>
      </w:r>
      <w:r>
        <w:rPr>
          <w:rFonts w:eastAsia="微软雅黑"/>
          <w:sz w:val="21"/>
          <w:szCs w:val="21"/>
        </w:rPr>
        <w:fldChar w:fldCharType="begin"/>
      </w:r>
      <w:r>
        <w:rPr>
          <w:rFonts w:eastAsia="微软雅黑"/>
          <w:sz w:val="21"/>
          <w:szCs w:val="21"/>
        </w:rPr>
        <w:instrText>EQ = 20lg</w:instrText>
      </w:r>
      <w:r>
        <w:rPr>
          <w:rFonts w:eastAsia="微软雅黑"/>
          <w:i/>
          <w:iCs/>
          <w:sz w:val="21"/>
          <w:szCs w:val="21"/>
        </w:rPr>
        <w:instrText>m</w:instrText>
      </w:r>
      <w:r>
        <w:rPr>
          <w:rFonts w:eastAsia="微软雅黑"/>
          <w:sz w:val="21"/>
          <w:szCs w:val="21"/>
        </w:rPr>
        <w:instrText xml:space="preserve"> + 20lg</w:instrText>
      </w:r>
      <w:r>
        <w:rPr>
          <w:rFonts w:eastAsia="微软雅黑"/>
          <w:i/>
          <w:iCs/>
          <w:sz w:val="21"/>
          <w:szCs w:val="21"/>
        </w:rPr>
        <w:instrText>f</w:instrText>
      </w:r>
      <w:r>
        <w:rPr>
          <w:rFonts w:eastAsia="微软雅黑"/>
          <w:sz w:val="21"/>
          <w:szCs w:val="21"/>
        </w:rPr>
        <w:instrText xml:space="preserve"> - 48</w:instrText>
      </w:r>
      <w:r>
        <w:rPr>
          <w:rFonts w:eastAsia="微软雅黑"/>
          <w:sz w:val="21"/>
          <w:szCs w:val="21"/>
        </w:rPr>
        <w:fldChar w:fldCharType="end"/>
      </w:r>
    </w:p>
    <w:p w14:paraId="6354981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上面两个式子证明，墙的单位面积质量越大，则隔声效果越好，单位面积质量每增加一倍，隔声量可增加6dB。这一规律称为“质量定律”。从上式还可以看出，入射声波的频率</w:t>
      </w:r>
      <w:r>
        <w:rPr>
          <w:rFonts w:ascii="微软雅黑" w:eastAsia="微软雅黑" w:cs="微软雅黑" w:hint="eastAsia"/>
          <w:sz w:val="21"/>
          <w:szCs w:val="21"/>
        </w:rPr>
        <w:lastRenderedPageBreak/>
        <w:t>每增加一倍，隔声量也可以增加6dB。图 4表示了质量定律直线。</w:t>
      </w:r>
    </w:p>
    <w:p w14:paraId="3F5BC4EF" w14:textId="11D41015" w:rsidR="00000000" w:rsidRDefault="00C92DA5">
      <w:pPr>
        <w:spacing w:before="20" w:after="20"/>
        <w:jc w:val="center"/>
      </w:pPr>
      <w:r>
        <w:rPr>
          <w:noProof/>
        </w:rPr>
        <w:drawing>
          <wp:inline distT="0" distB="0" distL="0" distR="0" wp14:anchorId="52AB7A7E" wp14:editId="7718E9F3">
            <wp:extent cx="3351530" cy="252476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1530" cy="2524760"/>
                    </a:xfrm>
                    <a:prstGeom prst="rect">
                      <a:avLst/>
                    </a:prstGeom>
                    <a:noFill/>
                    <a:ln>
                      <a:noFill/>
                    </a:ln>
                  </pic:spPr>
                </pic:pic>
              </a:graphicData>
            </a:graphic>
          </wp:inline>
        </w:drawing>
      </w:r>
    </w:p>
    <w:p w14:paraId="3E9ED419"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4 </w:t>
      </w:r>
      <w:r>
        <w:rPr>
          <w:rFonts w:ascii="宋体" w:eastAsia="宋体" w:cs="宋体" w:hint="eastAsia"/>
          <w:sz w:val="20"/>
          <w:szCs w:val="20"/>
        </w:rPr>
        <w:t>由质量控制的柔性板的隔声量</w:t>
      </w:r>
    </w:p>
    <w:p w14:paraId="6E3BA3A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由于本式是建立在理论上的许多假定条件下导出的，计算值普遍比实测大，并不符合现场实际情况，所以一般隔声设计中采用经验公式进行隔声量计算。</w:t>
      </w:r>
    </w:p>
    <w:p w14:paraId="01028FC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所有经验公式隔声量计算值，普遍小于理论公式计算值，并不同程度地接近现场实际情况，接近实测，所以经验公式比理论公式有实用价值。</w:t>
      </w:r>
    </w:p>
    <w:p w14:paraId="5A523854"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3.5 </w:t>
      </w:r>
      <w:r>
        <w:rPr>
          <w:rFonts w:ascii="微软雅黑" w:eastAsia="微软雅黑" w:cs="微软雅黑" w:hint="eastAsia"/>
          <w:b/>
          <w:bCs/>
          <w:spacing w:val="20"/>
        </w:rPr>
        <w:t>构件隔声量</w:t>
      </w:r>
    </w:p>
    <w:p w14:paraId="1F47DE7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构件隔声量的评价方法很多，目前最常用的方法主要有：公式计算法、曲线比较法（计权隔声量法）、类比法（实测图表法）。</w:t>
      </w:r>
    </w:p>
    <w:p w14:paraId="232E220C"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3.5.1 </w:t>
      </w:r>
      <w:r>
        <w:rPr>
          <w:rFonts w:ascii="微软雅黑" w:eastAsia="微软雅黑" w:cs="微软雅黑" w:hint="eastAsia"/>
          <w:b/>
          <w:bCs/>
          <w:spacing w:val="20"/>
        </w:rPr>
        <w:t>公式法</w:t>
      </w:r>
    </w:p>
    <w:p w14:paraId="3BDCDD4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公式法可分为理论公式及经验公式。经验公式都是加进了实践的因素，即包括实验室测定、现场测定、主观评估、判断等研究成果，它比理论公式接近实际，已不再是完全符合质量定律中的假定条件。但这些经验公式的基本变量还是质量m，质量大小控制隔声量，所以这类公式还是以质量定律为基本理论的隔声量经验计算式，是理论上的质量定律向实践的延伸。</w:t>
      </w:r>
    </w:p>
    <w:p w14:paraId="2321F27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一般来说，混凝土材料组成的建筑构件的空气声隔声情况可以通过《建筑隔声设计——空气声隔声技术》书中推荐的经验公式进行计算，砌体材料、保温层材料、轻钢龙骨材料等材料的空气声隔声和撞击声隔声情况无法通过公式直接进行计算，一般采用与典型构造的现场检测值进行对比的形式来确定。</w:t>
      </w:r>
    </w:p>
    <w:p w14:paraId="685F9AD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根据《建筑隔声设计——空气声隔声技术》书中推荐我们使用影响我国声学界的艾尔杰里的两个经验公式，根据该经验公式计算构件隔声计算分析。</w:t>
      </w:r>
    </w:p>
    <w:p w14:paraId="36C5161C" w14:textId="77777777" w:rsidR="00000000" w:rsidRDefault="00000000">
      <w:pPr>
        <w:spacing w:line="400" w:lineRule="atLeast"/>
        <w:ind w:firstLine="420"/>
        <w:jc w:val="both"/>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R</w:instrText>
      </w:r>
      <w:r>
        <w:rPr>
          <w:rFonts w:eastAsia="微软雅黑"/>
          <w:sz w:val="21"/>
          <w:szCs w:val="21"/>
        </w:rPr>
        <w:instrText xml:space="preserve"> = 13.5lg</w:instrText>
      </w:r>
      <w:r>
        <w:rPr>
          <w:rFonts w:eastAsia="微软雅黑"/>
          <w:i/>
          <w:iCs/>
          <w:sz w:val="21"/>
          <w:szCs w:val="21"/>
        </w:rPr>
        <w:instrText>m</w:instrText>
      </w:r>
      <w:r>
        <w:rPr>
          <w:rFonts w:eastAsia="微软雅黑"/>
          <w:sz w:val="21"/>
          <w:szCs w:val="21"/>
        </w:rPr>
        <w:instrText xml:space="preserve"> + 13  (m&lt;200 kg/m\s(</w:instrText>
      </w:r>
      <w:r>
        <w:rPr>
          <w:rFonts w:eastAsia="微软雅黑"/>
          <w:sz w:val="14"/>
          <w:szCs w:val="14"/>
        </w:rPr>
        <w:instrText>2</w:instrText>
      </w:r>
      <w:r>
        <w:rPr>
          <w:rFonts w:eastAsia="微软雅黑"/>
          <w:sz w:val="21"/>
          <w:szCs w:val="21"/>
        </w:rPr>
        <w:instrText>,))</w:instrText>
      </w:r>
      <w:r>
        <w:rPr>
          <w:rFonts w:eastAsia="微软雅黑"/>
          <w:sz w:val="21"/>
          <w:szCs w:val="21"/>
        </w:rPr>
        <w:fldChar w:fldCharType="end"/>
      </w:r>
    </w:p>
    <w:p w14:paraId="41EDF362" w14:textId="77777777" w:rsidR="00000000" w:rsidRDefault="00000000">
      <w:pPr>
        <w:spacing w:line="400" w:lineRule="atLeast"/>
        <w:ind w:firstLine="420"/>
        <w:jc w:val="both"/>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R</w:instrText>
      </w:r>
      <w:r>
        <w:rPr>
          <w:rFonts w:eastAsia="微软雅黑"/>
          <w:sz w:val="21"/>
          <w:szCs w:val="21"/>
        </w:rPr>
        <w:instrText xml:space="preserve"> = 23lg</w:instrText>
      </w:r>
      <w:r>
        <w:rPr>
          <w:rFonts w:eastAsia="微软雅黑"/>
          <w:i/>
          <w:iCs/>
          <w:sz w:val="21"/>
          <w:szCs w:val="21"/>
        </w:rPr>
        <w:instrText>m</w:instrText>
      </w:r>
      <w:r>
        <w:rPr>
          <w:rFonts w:eastAsia="微软雅黑"/>
          <w:sz w:val="21"/>
          <w:szCs w:val="21"/>
        </w:rPr>
        <w:instrText xml:space="preserve"> - 9     (m≥200 kg/m\s(</w:instrText>
      </w:r>
      <w:r>
        <w:rPr>
          <w:rFonts w:eastAsia="微软雅黑"/>
          <w:sz w:val="14"/>
          <w:szCs w:val="14"/>
        </w:rPr>
        <w:instrText>2</w:instrText>
      </w:r>
      <w:r>
        <w:rPr>
          <w:rFonts w:eastAsia="微软雅黑"/>
          <w:sz w:val="21"/>
          <w:szCs w:val="21"/>
        </w:rPr>
        <w:instrText>,))</w:instrText>
      </w:r>
      <w:r>
        <w:rPr>
          <w:rFonts w:eastAsia="微软雅黑"/>
          <w:sz w:val="21"/>
          <w:szCs w:val="21"/>
        </w:rPr>
        <w:fldChar w:fldCharType="end"/>
      </w:r>
    </w:p>
    <w:p w14:paraId="609ECDD1"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lastRenderedPageBreak/>
        <w:t xml:space="preserve">3.5.2 </w:t>
      </w:r>
      <w:r>
        <w:rPr>
          <w:rFonts w:ascii="微软雅黑" w:eastAsia="微软雅黑" w:cs="微软雅黑" w:hint="eastAsia"/>
          <w:b/>
          <w:bCs/>
          <w:spacing w:val="20"/>
        </w:rPr>
        <w:t>曲线比较法</w:t>
      </w:r>
    </w:p>
    <w:p w14:paraId="474AB54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计权隔声量法是用构件的隔声频率特性曲线，与标准折线（参考曲线）相比较而得出的，折线走向规定为：100-400Hz时为9dB/oct，400-1250Hz时为3dB /oct，1250-3150Hz时为平直，如图5所示。</w:t>
      </w:r>
    </w:p>
    <w:p w14:paraId="1818286D" w14:textId="3066088C" w:rsidR="00000000" w:rsidRDefault="00C92DA5">
      <w:pPr>
        <w:spacing w:before="20" w:after="20"/>
        <w:jc w:val="center"/>
      </w:pPr>
      <w:r>
        <w:rPr>
          <w:noProof/>
        </w:rPr>
        <w:drawing>
          <wp:inline distT="0" distB="0" distL="0" distR="0" wp14:anchorId="17870D17" wp14:editId="7521E549">
            <wp:extent cx="3467100" cy="267335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2673350"/>
                    </a:xfrm>
                    <a:prstGeom prst="rect">
                      <a:avLst/>
                    </a:prstGeom>
                    <a:noFill/>
                    <a:ln>
                      <a:noFill/>
                    </a:ln>
                  </pic:spPr>
                </pic:pic>
              </a:graphicData>
            </a:graphic>
          </wp:inline>
        </w:drawing>
      </w:r>
    </w:p>
    <w:p w14:paraId="71D39EB5"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5 </w:t>
      </w:r>
      <w:r>
        <w:rPr>
          <w:rFonts w:ascii="宋体" w:eastAsia="宋体" w:cs="宋体" w:hint="eastAsia"/>
          <w:sz w:val="20"/>
          <w:szCs w:val="20"/>
        </w:rPr>
        <w:t>空气声隔声的参考曲线特征图</w:t>
      </w:r>
    </w:p>
    <w:p w14:paraId="5E7C800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将已知构件的隔声频率特性曲线绘制在坐标纸上，其横纵坐标比例与标准折线比例相同，可以用1/3倍频程，也可以用1/1倍频程的坐标，将标准折线（空气声隔声参考曲线）与组合墙隔声曲线相互对照，对准两图的频率坐标，并沿垂直方向上下移动，直至满足以下两个条件：</w:t>
      </w:r>
    </w:p>
    <w:p w14:paraId="6948C3E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1.当为1/3倍频程坐标时：</w:t>
      </w:r>
    </w:p>
    <w:p w14:paraId="278FEDE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(1) 移动后空气声基准隔声曲线与组合墙隔声曲线相比较，各频率在移动后标准曲线之下不利偏差的总和不大于32dB；</w:t>
      </w:r>
    </w:p>
    <w:p w14:paraId="57A5815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(2) 组合墙隔声频率特性曲线的任一频带的隔声量在移动后标准曲线之下不利偏差的最大值不大于8dB；</w:t>
      </w:r>
    </w:p>
    <w:p w14:paraId="0360C89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2.当为1/1倍频程坐标时：</w:t>
      </w:r>
    </w:p>
    <w:p w14:paraId="32FB3F3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(1) 移动后空气声基准隔声曲线与组合墙隔声曲线相比较，各频率在移动后标准曲线之下不利偏差的总和不大于10dB；</w:t>
      </w:r>
    </w:p>
    <w:p w14:paraId="6BB4E0F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(2) 组合墙隔声频率特性曲线的任一频带的隔声量在移动后标准曲线之下不利偏差的最大值不大于5dB；</w:t>
      </w:r>
    </w:p>
    <w:p w14:paraId="1527689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然后，从500Hz处向上作垂线与移动后标准曲线相交，通过交点作水平线与隔声频率特性曲线图的纵坐标相交，则交点即为所求的500Hz下空气声隔声计权隔声量。</w:t>
      </w:r>
    </w:p>
    <w:p w14:paraId="23E3D18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由于曲线比较法，需要实际构件不同频率的隔声量测量值，即构件的隔声频率特性曲线，于是本文未使用这种方法。</w:t>
      </w:r>
    </w:p>
    <w:p w14:paraId="75EAFB9D"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lastRenderedPageBreak/>
        <w:t xml:space="preserve">3.5.3 </w:t>
      </w:r>
      <w:r>
        <w:rPr>
          <w:rFonts w:ascii="微软雅黑" w:eastAsia="微软雅黑" w:cs="微软雅黑" w:hint="eastAsia"/>
          <w:b/>
          <w:bCs/>
          <w:spacing w:val="20"/>
        </w:rPr>
        <w:t>类比法</w:t>
      </w:r>
    </w:p>
    <w:p w14:paraId="52C3BDBB"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各类声学书籍、文献几乎都附录了各种不同类型建筑围护构件的空气声隔声量实测数据，本文选取了几本权威的声学手册、图集：《建筑声学设计手册》、《建筑隔声设计—空气声隔声技术》、《建筑隔声与吸声构造》08J931。将构件与书籍中的实测数据类比，将文献中的实测数据作为构件的隔声量。</w:t>
      </w:r>
    </w:p>
    <w:p w14:paraId="3A5286FA"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3.6 </w:t>
      </w:r>
      <w:r>
        <w:rPr>
          <w:rFonts w:ascii="微软雅黑" w:eastAsia="微软雅黑" w:cs="微软雅黑" w:hint="eastAsia"/>
          <w:b/>
          <w:bCs/>
          <w:spacing w:val="20"/>
        </w:rPr>
        <w:t>频谱修正量</w:t>
      </w:r>
    </w:p>
    <w:p w14:paraId="0B10E8B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频谱修正量是因隔声频谱不同以及声源空间的噪声频谱不同，所需加到空气声隔声单值评价量上的修正值。</w:t>
      </w:r>
    </w:p>
    <w:p w14:paraId="22BC30F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当声源空间的噪声呈粉红噪声频率特性或交通噪声频率特性时，计算得到的频谱修正量分别是粉红噪声频谱修正量或交通噪声频谱修正量。</w:t>
      </w:r>
    </w:p>
    <w:p w14:paraId="28AF129A"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粉红噪声频谱修正量C及交通噪声频谱修正量Ctr按照《建筑隔声评价标准》GB/T50121-2005中3.4节规定的方法计算得出：</w:t>
      </w:r>
    </w:p>
    <w:p w14:paraId="5F69717D"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C</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j</w:instrText>
      </w:r>
      <w:r>
        <w:rPr>
          <w:rFonts w:eastAsia="微软雅黑"/>
          <w:sz w:val="21"/>
          <w:szCs w:val="21"/>
        </w:rPr>
        <w:instrText>) = -10lgΣ10\s(</w:instrText>
      </w:r>
      <w:r>
        <w:rPr>
          <w:rFonts w:eastAsia="微软雅黑"/>
          <w:sz w:val="14"/>
          <w:szCs w:val="14"/>
        </w:rPr>
        <w:instrText>(</w:instrText>
      </w:r>
      <w:r>
        <w:rPr>
          <w:rFonts w:eastAsia="微软雅黑"/>
          <w:i/>
          <w:iCs/>
          <w:sz w:val="14"/>
          <w:szCs w:val="14"/>
        </w:rPr>
        <w:instrText>L</w:instrText>
      </w:r>
      <w:r>
        <w:rPr>
          <w:rFonts w:eastAsia="微软雅黑"/>
          <w:i/>
          <w:iCs/>
          <w:sz w:val="14"/>
          <w:szCs w:val="14"/>
          <w:vertAlign w:val="subscript"/>
        </w:rPr>
        <w:instrText>ij</w:instrText>
      </w:r>
      <w:r>
        <w:rPr>
          <w:rFonts w:eastAsia="微软雅黑"/>
          <w:sz w:val="14"/>
          <w:szCs w:val="14"/>
        </w:rPr>
        <w:instrText>-</w:instrText>
      </w:r>
      <w:r>
        <w:rPr>
          <w:rFonts w:eastAsia="微软雅黑"/>
          <w:i/>
          <w:iCs/>
          <w:sz w:val="14"/>
          <w:szCs w:val="14"/>
        </w:rPr>
        <w:instrText>X</w:instrText>
      </w:r>
      <w:r>
        <w:rPr>
          <w:rFonts w:eastAsia="微软雅黑"/>
          <w:i/>
          <w:iCs/>
          <w:sz w:val="14"/>
          <w:szCs w:val="14"/>
          <w:vertAlign w:val="subscript"/>
        </w:rPr>
        <w:instrText>i</w:instrText>
      </w:r>
      <w:r>
        <w:rPr>
          <w:rFonts w:eastAsia="微软雅黑"/>
          <w:sz w:val="14"/>
          <w:szCs w:val="14"/>
        </w:rPr>
        <w:instrText>)/10</w:instrText>
      </w:r>
      <w:r>
        <w:rPr>
          <w:rFonts w:eastAsia="微软雅黑"/>
          <w:sz w:val="21"/>
          <w:szCs w:val="21"/>
        </w:rPr>
        <w:instrText>,</w:instrText>
      </w:r>
      <w:r>
        <w:rPr>
          <w:rFonts w:eastAsia="微软雅黑"/>
          <w:sz w:val="14"/>
          <w:szCs w:val="14"/>
        </w:rPr>
        <w:instrText xml:space="preserve"> </w:instrText>
      </w:r>
      <w:r>
        <w:rPr>
          <w:rFonts w:eastAsia="微软雅黑"/>
          <w:sz w:val="21"/>
          <w:szCs w:val="21"/>
        </w:rPr>
        <w:instrText xml:space="preserve">) - </w:instrText>
      </w:r>
      <w:r>
        <w:rPr>
          <w:rFonts w:eastAsia="微软雅黑"/>
          <w:i/>
          <w:iCs/>
          <w:sz w:val="21"/>
          <w:szCs w:val="21"/>
        </w:rPr>
        <w:instrText>X</w:instrText>
      </w:r>
      <w:r>
        <w:rPr>
          <w:rFonts w:eastAsia="微软雅黑"/>
          <w:sz w:val="21"/>
          <w:szCs w:val="21"/>
        </w:rPr>
        <w:instrText>\s(</w:instrText>
      </w:r>
      <w:r>
        <w:rPr>
          <w:rFonts w:eastAsia="微软雅黑"/>
          <w:sz w:val="14"/>
          <w:szCs w:val="14"/>
        </w:rPr>
        <w:instrText xml:space="preserve"> </w:instrText>
      </w:r>
      <w:r>
        <w:rPr>
          <w:rFonts w:eastAsia="微软雅黑"/>
          <w:sz w:val="21"/>
          <w:szCs w:val="21"/>
        </w:rPr>
        <w:instrText>,</w:instrText>
      </w:r>
      <w:r>
        <w:rPr>
          <w:rFonts w:eastAsia="微软雅黑"/>
          <w:i/>
          <w:iCs/>
          <w:sz w:val="14"/>
          <w:szCs w:val="14"/>
        </w:rPr>
        <w:instrText>W</w:instrText>
      </w:r>
      <w:r>
        <w:rPr>
          <w:rFonts w:eastAsia="微软雅黑"/>
          <w:sz w:val="21"/>
          <w:szCs w:val="21"/>
        </w:rPr>
        <w:instrText>)</w:instrText>
      </w:r>
      <w:r>
        <w:rPr>
          <w:rFonts w:eastAsia="微软雅黑"/>
          <w:sz w:val="21"/>
          <w:szCs w:val="21"/>
        </w:rPr>
        <w:fldChar w:fldCharType="end"/>
      </w:r>
    </w:p>
    <w:p w14:paraId="6B33B68D"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式中 j—频谱序号，j=1或2,1为计算粉红噪声C的频谱1,2为计算交通噪声Ctr的频谱2；</w:t>
      </w:r>
    </w:p>
    <w:p w14:paraId="39EF3FE0"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X</w:t>
      </w:r>
      <w:r>
        <w:rPr>
          <w:rFonts w:eastAsia="微软雅黑"/>
          <w:i/>
          <w:iCs/>
          <w:sz w:val="21"/>
          <w:szCs w:val="21"/>
          <w:vertAlign w:val="subscript"/>
        </w:rPr>
        <w:t>W</w:t>
      </w:r>
      <w:r>
        <w:rPr>
          <w:rFonts w:ascii="微软雅黑" w:eastAsia="微软雅黑" w:cs="微软雅黑" w:hint="eastAsia"/>
          <w:sz w:val="21"/>
          <w:szCs w:val="21"/>
        </w:rPr>
        <w:t>—计权隔声量；</w:t>
      </w:r>
    </w:p>
    <w:p w14:paraId="2A72499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i—125~2000Hz的倍频程或100~3150Hz的1/3倍频程序号；</w:t>
      </w:r>
    </w:p>
    <w:p w14:paraId="7D7D2DAB"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L</w:t>
      </w:r>
      <w:r>
        <w:rPr>
          <w:rFonts w:eastAsia="微软雅黑"/>
          <w:i/>
          <w:iCs/>
          <w:sz w:val="21"/>
          <w:szCs w:val="21"/>
          <w:vertAlign w:val="subscript"/>
        </w:rPr>
        <w:t>ij</w:t>
      </w:r>
      <w:r>
        <w:rPr>
          <w:rFonts w:ascii="微软雅黑" w:eastAsia="微软雅黑" w:cs="微软雅黑" w:hint="eastAsia"/>
          <w:sz w:val="21"/>
          <w:szCs w:val="21"/>
        </w:rPr>
        <w:t>—表1中第j号频谱的第i个频带声压级；</w:t>
      </w:r>
    </w:p>
    <w:p w14:paraId="464DEBD6"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X</w:t>
      </w:r>
      <w:r>
        <w:rPr>
          <w:rFonts w:eastAsia="微软雅黑"/>
          <w:i/>
          <w:iCs/>
          <w:sz w:val="21"/>
          <w:szCs w:val="21"/>
          <w:vertAlign w:val="subscript"/>
        </w:rPr>
        <w:t>i</w:t>
      </w:r>
      <w:r>
        <w:rPr>
          <w:rFonts w:ascii="微软雅黑" w:eastAsia="微软雅黑" w:cs="微软雅黑" w:hint="eastAsia"/>
          <w:sz w:val="21"/>
          <w:szCs w:val="21"/>
        </w:rPr>
        <w:t>—第i个频带的测量量。</w:t>
      </w:r>
    </w:p>
    <w:p w14:paraId="365D4E2E"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4 </w:t>
      </w:r>
      <w:r>
        <w:rPr>
          <w:rFonts w:ascii="宋体" w:eastAsia="宋体" w:cs="宋体" w:hint="eastAsia"/>
          <w:sz w:val="20"/>
          <w:szCs w:val="20"/>
        </w:rPr>
        <w:t>计算频谱修正量的声压级频谱</w:t>
      </w:r>
    </w:p>
    <w:tbl>
      <w:tblPr>
        <w:tblW w:w="0" w:type="auto"/>
        <w:jc w:val="center"/>
        <w:tblLayout w:type="fixed"/>
        <w:tblCellMar>
          <w:left w:w="100" w:type="dxa"/>
          <w:right w:w="100" w:type="dxa"/>
        </w:tblCellMar>
        <w:tblLook w:val="0000" w:firstRow="0" w:lastRow="0" w:firstColumn="0" w:lastColumn="0" w:noHBand="0" w:noVBand="0"/>
      </w:tblPr>
      <w:tblGrid>
        <w:gridCol w:w="1500"/>
        <w:gridCol w:w="1500"/>
        <w:gridCol w:w="1500"/>
        <w:gridCol w:w="1500"/>
        <w:gridCol w:w="1500"/>
      </w:tblGrid>
      <w:tr w:rsidR="00C92DA5" w14:paraId="56D56836" w14:textId="77777777" w:rsidTr="00C92DA5">
        <w:tblPrEx>
          <w:tblCellMar>
            <w:top w:w="0" w:type="dxa"/>
            <w:bottom w:w="0" w:type="dxa"/>
          </w:tblCellMar>
        </w:tblPrEx>
        <w:trPr>
          <w:jc w:val="center"/>
        </w:trPr>
        <w:tc>
          <w:tcPr>
            <w:tcW w:w="15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14:paraId="348D0198"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频率（Hz）</w:t>
            </w:r>
          </w:p>
        </w:tc>
        <w:tc>
          <w:tcPr>
            <w:tcW w:w="6000" w:type="dxa"/>
            <w:gridSpan w:val="4"/>
            <w:tcBorders>
              <w:top w:val="single" w:sz="4" w:space="0" w:color="auto"/>
              <w:left w:val="single" w:sz="4" w:space="0" w:color="auto"/>
              <w:bottom w:val="single" w:sz="4" w:space="0" w:color="auto"/>
              <w:right w:val="single" w:sz="4" w:space="0" w:color="auto"/>
            </w:tcBorders>
            <w:shd w:val="clear" w:color="auto" w:fill="AFAFAF"/>
            <w:vAlign w:val="center"/>
          </w:tcPr>
          <w:p w14:paraId="2082F79E"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声压级Lij（dB）</w:t>
            </w:r>
          </w:p>
        </w:tc>
      </w:tr>
      <w:tr w:rsidR="00C92DA5" w14:paraId="702DD575" w14:textId="77777777" w:rsidTr="00C92DA5">
        <w:tblPrEx>
          <w:tblCellMar>
            <w:top w:w="0" w:type="dxa"/>
            <w:bottom w:w="0" w:type="dxa"/>
          </w:tblCellMar>
        </w:tblPrEx>
        <w:trPr>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540BB2F0" w14:textId="77777777" w:rsidR="00000000" w:rsidRDefault="00000000">
            <w:pPr>
              <w:spacing w:before="25" w:after="25"/>
              <w:jc w:val="center"/>
              <w:rPr>
                <w:rFonts w:ascii="宋体" w:eastAsia="宋体" w:cs="宋体"/>
                <w:b/>
                <w:bCs/>
                <w:sz w:val="20"/>
                <w:szCs w:val="20"/>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14:paraId="5FDC7A6D"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用于计算C的频谱1</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14:paraId="5BCB013E"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用于计算Ctr的频谱2</w:t>
            </w:r>
          </w:p>
        </w:tc>
      </w:tr>
      <w:tr w:rsidR="00000000" w14:paraId="57A84C65" w14:textId="77777777">
        <w:tblPrEx>
          <w:tblCellMar>
            <w:top w:w="0" w:type="dxa"/>
            <w:bottom w:w="0" w:type="dxa"/>
          </w:tblCellMar>
        </w:tblPrEx>
        <w:trPr>
          <w:jc w:val="center"/>
        </w:trPr>
        <w:tc>
          <w:tcPr>
            <w:tcW w:w="1500" w:type="dxa"/>
            <w:vMerge/>
            <w:tcBorders>
              <w:top w:val="single" w:sz="4" w:space="0" w:color="auto"/>
              <w:left w:val="single" w:sz="4" w:space="0" w:color="auto"/>
              <w:bottom w:val="single" w:sz="4" w:space="0" w:color="auto"/>
              <w:right w:val="single" w:sz="4" w:space="0" w:color="auto"/>
            </w:tcBorders>
            <w:shd w:val="clear" w:color="auto" w:fill="AFAFAF"/>
            <w:vAlign w:val="center"/>
          </w:tcPr>
          <w:p w14:paraId="2962E73C" w14:textId="77777777" w:rsidR="00000000" w:rsidRDefault="00000000">
            <w:pPr>
              <w:spacing w:before="25" w:after="25"/>
              <w:jc w:val="center"/>
              <w:rPr>
                <w:rFonts w:ascii="宋体" w:eastAsia="宋体" w:cs="宋体"/>
                <w:b/>
                <w:bCs/>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524DBAD8"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1/3倍频程</w:t>
            </w: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0B05C657"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倍频程</w:t>
            </w: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7796B139"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1/3倍频程</w:t>
            </w: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6B19CBB2"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倍频程</w:t>
            </w:r>
          </w:p>
        </w:tc>
      </w:tr>
      <w:tr w:rsidR="00000000" w14:paraId="6639531B"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6E87ABB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100</w:t>
            </w:r>
          </w:p>
        </w:tc>
        <w:tc>
          <w:tcPr>
            <w:tcW w:w="1500" w:type="dxa"/>
            <w:tcBorders>
              <w:top w:val="single" w:sz="4" w:space="0" w:color="auto"/>
              <w:left w:val="single" w:sz="4" w:space="0" w:color="auto"/>
              <w:bottom w:val="single" w:sz="4" w:space="0" w:color="auto"/>
              <w:right w:val="single" w:sz="4" w:space="0" w:color="auto"/>
            </w:tcBorders>
            <w:vAlign w:val="center"/>
          </w:tcPr>
          <w:p w14:paraId="65D349F8"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-29</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75C99BD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-21</w:t>
            </w:r>
          </w:p>
        </w:tc>
        <w:tc>
          <w:tcPr>
            <w:tcW w:w="1500" w:type="dxa"/>
            <w:tcBorders>
              <w:top w:val="single" w:sz="4" w:space="0" w:color="auto"/>
              <w:left w:val="single" w:sz="4" w:space="0" w:color="auto"/>
              <w:bottom w:val="single" w:sz="4" w:space="0" w:color="auto"/>
              <w:right w:val="single" w:sz="4" w:space="0" w:color="auto"/>
            </w:tcBorders>
            <w:vAlign w:val="center"/>
          </w:tcPr>
          <w:p w14:paraId="526B69E8"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7DCAC01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-14</w:t>
            </w:r>
          </w:p>
        </w:tc>
      </w:tr>
      <w:tr w:rsidR="00000000" w14:paraId="08E8AABB"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403617B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125</w:t>
            </w:r>
          </w:p>
        </w:tc>
        <w:tc>
          <w:tcPr>
            <w:tcW w:w="1500" w:type="dxa"/>
            <w:tcBorders>
              <w:top w:val="single" w:sz="4" w:space="0" w:color="auto"/>
              <w:left w:val="single" w:sz="4" w:space="0" w:color="auto"/>
              <w:bottom w:val="single" w:sz="4" w:space="0" w:color="auto"/>
              <w:right w:val="single" w:sz="4" w:space="0" w:color="auto"/>
            </w:tcBorders>
            <w:vAlign w:val="center"/>
          </w:tcPr>
          <w:p w14:paraId="76397AD5"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-26</w:t>
            </w:r>
          </w:p>
        </w:tc>
        <w:tc>
          <w:tcPr>
            <w:tcW w:w="1500" w:type="dxa"/>
            <w:vMerge/>
            <w:tcBorders>
              <w:top w:val="single" w:sz="4" w:space="0" w:color="auto"/>
              <w:left w:val="single" w:sz="4" w:space="0" w:color="auto"/>
              <w:bottom w:val="single" w:sz="4" w:space="0" w:color="auto"/>
              <w:right w:val="single" w:sz="4" w:space="0" w:color="auto"/>
            </w:tcBorders>
            <w:vAlign w:val="center"/>
          </w:tcPr>
          <w:p w14:paraId="162A4108"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6E0D88E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w:t>
            </w:r>
          </w:p>
        </w:tc>
        <w:tc>
          <w:tcPr>
            <w:tcW w:w="1500" w:type="dxa"/>
            <w:vMerge/>
            <w:tcBorders>
              <w:top w:val="single" w:sz="4" w:space="0" w:color="auto"/>
              <w:left w:val="single" w:sz="4" w:space="0" w:color="auto"/>
              <w:bottom w:val="single" w:sz="4" w:space="0" w:color="auto"/>
              <w:right w:val="single" w:sz="4" w:space="0" w:color="auto"/>
            </w:tcBorders>
            <w:vAlign w:val="center"/>
          </w:tcPr>
          <w:p w14:paraId="184ACEB5" w14:textId="77777777" w:rsidR="00000000" w:rsidRDefault="00000000">
            <w:pPr>
              <w:spacing w:before="25" w:after="25"/>
              <w:jc w:val="center"/>
              <w:rPr>
                <w:rFonts w:ascii="宋体" w:eastAsia="宋体" w:cs="宋体"/>
                <w:sz w:val="20"/>
                <w:szCs w:val="20"/>
              </w:rPr>
            </w:pPr>
          </w:p>
        </w:tc>
      </w:tr>
      <w:tr w:rsidR="00000000" w14:paraId="21518219"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60EA8B8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160</w:t>
            </w:r>
          </w:p>
        </w:tc>
        <w:tc>
          <w:tcPr>
            <w:tcW w:w="1500" w:type="dxa"/>
            <w:tcBorders>
              <w:top w:val="single" w:sz="4" w:space="0" w:color="auto"/>
              <w:left w:val="single" w:sz="4" w:space="0" w:color="auto"/>
              <w:bottom w:val="single" w:sz="4" w:space="0" w:color="auto"/>
              <w:right w:val="single" w:sz="4" w:space="0" w:color="auto"/>
            </w:tcBorders>
            <w:vAlign w:val="center"/>
          </w:tcPr>
          <w:p w14:paraId="20F7410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-23</w:t>
            </w:r>
          </w:p>
        </w:tc>
        <w:tc>
          <w:tcPr>
            <w:tcW w:w="1500" w:type="dxa"/>
            <w:vMerge/>
            <w:tcBorders>
              <w:top w:val="single" w:sz="4" w:space="0" w:color="auto"/>
              <w:left w:val="single" w:sz="4" w:space="0" w:color="auto"/>
              <w:bottom w:val="single" w:sz="4" w:space="0" w:color="auto"/>
              <w:right w:val="single" w:sz="4" w:space="0" w:color="auto"/>
            </w:tcBorders>
            <w:vAlign w:val="center"/>
          </w:tcPr>
          <w:p w14:paraId="4885E5CF"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53CE083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-18</w:t>
            </w:r>
          </w:p>
        </w:tc>
        <w:tc>
          <w:tcPr>
            <w:tcW w:w="1500" w:type="dxa"/>
            <w:vMerge/>
            <w:tcBorders>
              <w:top w:val="single" w:sz="4" w:space="0" w:color="auto"/>
              <w:left w:val="single" w:sz="4" w:space="0" w:color="auto"/>
              <w:bottom w:val="single" w:sz="4" w:space="0" w:color="auto"/>
              <w:right w:val="single" w:sz="4" w:space="0" w:color="auto"/>
            </w:tcBorders>
            <w:vAlign w:val="center"/>
          </w:tcPr>
          <w:p w14:paraId="221F2EC2" w14:textId="77777777" w:rsidR="00000000" w:rsidRDefault="00000000">
            <w:pPr>
              <w:spacing w:before="25" w:after="25"/>
              <w:jc w:val="center"/>
              <w:rPr>
                <w:rFonts w:ascii="宋体" w:eastAsia="宋体" w:cs="宋体"/>
                <w:sz w:val="20"/>
                <w:szCs w:val="20"/>
              </w:rPr>
            </w:pPr>
          </w:p>
        </w:tc>
      </w:tr>
      <w:tr w:rsidR="00000000" w14:paraId="63E7EFBD"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4EF8C6B5"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200</w:t>
            </w:r>
          </w:p>
        </w:tc>
        <w:tc>
          <w:tcPr>
            <w:tcW w:w="1500" w:type="dxa"/>
            <w:tcBorders>
              <w:top w:val="single" w:sz="4" w:space="0" w:color="auto"/>
              <w:left w:val="single" w:sz="4" w:space="0" w:color="auto"/>
              <w:bottom w:val="single" w:sz="4" w:space="0" w:color="auto"/>
              <w:right w:val="single" w:sz="4" w:space="0" w:color="auto"/>
            </w:tcBorders>
            <w:vAlign w:val="center"/>
          </w:tcPr>
          <w:p w14:paraId="38EBEE7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-21</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4E28F7F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-14</w:t>
            </w:r>
          </w:p>
        </w:tc>
        <w:tc>
          <w:tcPr>
            <w:tcW w:w="1500" w:type="dxa"/>
            <w:tcBorders>
              <w:top w:val="single" w:sz="4" w:space="0" w:color="auto"/>
              <w:left w:val="single" w:sz="4" w:space="0" w:color="auto"/>
              <w:bottom w:val="single" w:sz="4" w:space="0" w:color="auto"/>
              <w:right w:val="single" w:sz="4" w:space="0" w:color="auto"/>
            </w:tcBorders>
            <w:vAlign w:val="center"/>
          </w:tcPr>
          <w:p w14:paraId="14BEA92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-16</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716C543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-10</w:t>
            </w:r>
          </w:p>
        </w:tc>
      </w:tr>
      <w:tr w:rsidR="00000000" w14:paraId="2B54CFBA"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53E5083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250</w:t>
            </w:r>
          </w:p>
        </w:tc>
        <w:tc>
          <w:tcPr>
            <w:tcW w:w="1500" w:type="dxa"/>
            <w:tcBorders>
              <w:top w:val="single" w:sz="4" w:space="0" w:color="auto"/>
              <w:left w:val="single" w:sz="4" w:space="0" w:color="auto"/>
              <w:bottom w:val="single" w:sz="4" w:space="0" w:color="auto"/>
              <w:right w:val="single" w:sz="4" w:space="0" w:color="auto"/>
            </w:tcBorders>
            <w:vAlign w:val="center"/>
          </w:tcPr>
          <w:p w14:paraId="1478142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-19</w:t>
            </w:r>
          </w:p>
        </w:tc>
        <w:tc>
          <w:tcPr>
            <w:tcW w:w="1500" w:type="dxa"/>
            <w:vMerge/>
            <w:tcBorders>
              <w:top w:val="single" w:sz="4" w:space="0" w:color="auto"/>
              <w:left w:val="single" w:sz="4" w:space="0" w:color="auto"/>
              <w:bottom w:val="single" w:sz="4" w:space="0" w:color="auto"/>
              <w:right w:val="single" w:sz="4" w:space="0" w:color="auto"/>
            </w:tcBorders>
            <w:vAlign w:val="center"/>
          </w:tcPr>
          <w:p w14:paraId="5DAAA3B0"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7656909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-15</w:t>
            </w:r>
          </w:p>
        </w:tc>
        <w:tc>
          <w:tcPr>
            <w:tcW w:w="1500" w:type="dxa"/>
            <w:vMerge/>
            <w:tcBorders>
              <w:top w:val="single" w:sz="4" w:space="0" w:color="auto"/>
              <w:left w:val="single" w:sz="4" w:space="0" w:color="auto"/>
              <w:bottom w:val="single" w:sz="4" w:space="0" w:color="auto"/>
              <w:right w:val="single" w:sz="4" w:space="0" w:color="auto"/>
            </w:tcBorders>
            <w:vAlign w:val="center"/>
          </w:tcPr>
          <w:p w14:paraId="71F6FD00" w14:textId="77777777" w:rsidR="00000000" w:rsidRDefault="00000000">
            <w:pPr>
              <w:spacing w:before="25" w:after="25"/>
              <w:jc w:val="center"/>
              <w:rPr>
                <w:rFonts w:ascii="宋体" w:eastAsia="宋体" w:cs="宋体"/>
                <w:sz w:val="20"/>
                <w:szCs w:val="20"/>
              </w:rPr>
            </w:pPr>
          </w:p>
        </w:tc>
      </w:tr>
      <w:tr w:rsidR="00000000" w14:paraId="540BBD1F"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6FB1ED9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315</w:t>
            </w:r>
          </w:p>
        </w:tc>
        <w:tc>
          <w:tcPr>
            <w:tcW w:w="1500" w:type="dxa"/>
            <w:tcBorders>
              <w:top w:val="single" w:sz="4" w:space="0" w:color="auto"/>
              <w:left w:val="single" w:sz="4" w:space="0" w:color="auto"/>
              <w:bottom w:val="single" w:sz="4" w:space="0" w:color="auto"/>
              <w:right w:val="single" w:sz="4" w:space="0" w:color="auto"/>
            </w:tcBorders>
            <w:vAlign w:val="center"/>
          </w:tcPr>
          <w:p w14:paraId="17F547C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-17</w:t>
            </w:r>
          </w:p>
        </w:tc>
        <w:tc>
          <w:tcPr>
            <w:tcW w:w="1500" w:type="dxa"/>
            <w:vMerge/>
            <w:tcBorders>
              <w:top w:val="single" w:sz="4" w:space="0" w:color="auto"/>
              <w:left w:val="single" w:sz="4" w:space="0" w:color="auto"/>
              <w:bottom w:val="single" w:sz="4" w:space="0" w:color="auto"/>
              <w:right w:val="single" w:sz="4" w:space="0" w:color="auto"/>
            </w:tcBorders>
            <w:vAlign w:val="center"/>
          </w:tcPr>
          <w:p w14:paraId="37CE4EB7"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00AEA4A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14</w:t>
            </w:r>
          </w:p>
        </w:tc>
        <w:tc>
          <w:tcPr>
            <w:tcW w:w="1500" w:type="dxa"/>
            <w:vMerge/>
            <w:tcBorders>
              <w:top w:val="single" w:sz="4" w:space="0" w:color="auto"/>
              <w:left w:val="single" w:sz="4" w:space="0" w:color="auto"/>
              <w:bottom w:val="single" w:sz="4" w:space="0" w:color="auto"/>
              <w:right w:val="single" w:sz="4" w:space="0" w:color="auto"/>
            </w:tcBorders>
            <w:vAlign w:val="center"/>
          </w:tcPr>
          <w:p w14:paraId="46EED91B" w14:textId="77777777" w:rsidR="00000000" w:rsidRDefault="00000000">
            <w:pPr>
              <w:spacing w:before="25" w:after="25"/>
              <w:jc w:val="center"/>
              <w:rPr>
                <w:rFonts w:ascii="宋体" w:eastAsia="宋体" w:cs="宋体"/>
                <w:sz w:val="20"/>
                <w:szCs w:val="20"/>
              </w:rPr>
            </w:pPr>
          </w:p>
        </w:tc>
      </w:tr>
      <w:tr w:rsidR="00000000" w14:paraId="4BA7E43D"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61632B2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400</w:t>
            </w:r>
          </w:p>
        </w:tc>
        <w:tc>
          <w:tcPr>
            <w:tcW w:w="1500" w:type="dxa"/>
            <w:tcBorders>
              <w:top w:val="single" w:sz="4" w:space="0" w:color="auto"/>
              <w:left w:val="single" w:sz="4" w:space="0" w:color="auto"/>
              <w:bottom w:val="single" w:sz="4" w:space="0" w:color="auto"/>
              <w:right w:val="single" w:sz="4" w:space="0" w:color="auto"/>
            </w:tcBorders>
            <w:vAlign w:val="center"/>
          </w:tcPr>
          <w:p w14:paraId="347C19D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-15</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17F730C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-8</w:t>
            </w:r>
          </w:p>
        </w:tc>
        <w:tc>
          <w:tcPr>
            <w:tcW w:w="1500" w:type="dxa"/>
            <w:tcBorders>
              <w:top w:val="single" w:sz="4" w:space="0" w:color="auto"/>
              <w:left w:val="single" w:sz="4" w:space="0" w:color="auto"/>
              <w:bottom w:val="single" w:sz="4" w:space="0" w:color="auto"/>
              <w:right w:val="single" w:sz="4" w:space="0" w:color="auto"/>
            </w:tcBorders>
            <w:vAlign w:val="center"/>
          </w:tcPr>
          <w:p w14:paraId="01182C6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-13</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176D000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-7</w:t>
            </w:r>
          </w:p>
        </w:tc>
      </w:tr>
      <w:tr w:rsidR="00000000" w14:paraId="7E4CC1F2"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02EBE49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500</w:t>
            </w:r>
          </w:p>
        </w:tc>
        <w:tc>
          <w:tcPr>
            <w:tcW w:w="1500" w:type="dxa"/>
            <w:tcBorders>
              <w:top w:val="single" w:sz="4" w:space="0" w:color="auto"/>
              <w:left w:val="single" w:sz="4" w:space="0" w:color="auto"/>
              <w:bottom w:val="single" w:sz="4" w:space="0" w:color="auto"/>
              <w:right w:val="single" w:sz="4" w:space="0" w:color="auto"/>
            </w:tcBorders>
            <w:vAlign w:val="center"/>
          </w:tcPr>
          <w:p w14:paraId="2EAE6B8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-13</w:t>
            </w:r>
          </w:p>
        </w:tc>
        <w:tc>
          <w:tcPr>
            <w:tcW w:w="1500" w:type="dxa"/>
            <w:vMerge/>
            <w:tcBorders>
              <w:top w:val="single" w:sz="4" w:space="0" w:color="auto"/>
              <w:left w:val="single" w:sz="4" w:space="0" w:color="auto"/>
              <w:bottom w:val="single" w:sz="4" w:space="0" w:color="auto"/>
              <w:right w:val="single" w:sz="4" w:space="0" w:color="auto"/>
            </w:tcBorders>
            <w:vAlign w:val="center"/>
          </w:tcPr>
          <w:p w14:paraId="745EC8C5"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7349120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-12</w:t>
            </w:r>
          </w:p>
        </w:tc>
        <w:tc>
          <w:tcPr>
            <w:tcW w:w="1500" w:type="dxa"/>
            <w:vMerge/>
            <w:tcBorders>
              <w:top w:val="single" w:sz="4" w:space="0" w:color="auto"/>
              <w:left w:val="single" w:sz="4" w:space="0" w:color="auto"/>
              <w:bottom w:val="single" w:sz="4" w:space="0" w:color="auto"/>
              <w:right w:val="single" w:sz="4" w:space="0" w:color="auto"/>
            </w:tcBorders>
            <w:vAlign w:val="center"/>
          </w:tcPr>
          <w:p w14:paraId="5546202A" w14:textId="77777777" w:rsidR="00000000" w:rsidRDefault="00000000">
            <w:pPr>
              <w:spacing w:before="25" w:after="25"/>
              <w:jc w:val="center"/>
              <w:rPr>
                <w:rFonts w:ascii="宋体" w:eastAsia="宋体" w:cs="宋体"/>
                <w:sz w:val="20"/>
                <w:szCs w:val="20"/>
              </w:rPr>
            </w:pPr>
          </w:p>
        </w:tc>
      </w:tr>
      <w:tr w:rsidR="00000000" w14:paraId="020C1134"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61B9672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630</w:t>
            </w:r>
          </w:p>
        </w:tc>
        <w:tc>
          <w:tcPr>
            <w:tcW w:w="1500" w:type="dxa"/>
            <w:tcBorders>
              <w:top w:val="single" w:sz="4" w:space="0" w:color="auto"/>
              <w:left w:val="single" w:sz="4" w:space="0" w:color="auto"/>
              <w:bottom w:val="single" w:sz="4" w:space="0" w:color="auto"/>
              <w:right w:val="single" w:sz="4" w:space="0" w:color="auto"/>
            </w:tcBorders>
            <w:vAlign w:val="center"/>
          </w:tcPr>
          <w:p w14:paraId="20B8631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-12</w:t>
            </w:r>
          </w:p>
        </w:tc>
        <w:tc>
          <w:tcPr>
            <w:tcW w:w="1500" w:type="dxa"/>
            <w:vMerge/>
            <w:tcBorders>
              <w:top w:val="single" w:sz="4" w:space="0" w:color="auto"/>
              <w:left w:val="single" w:sz="4" w:space="0" w:color="auto"/>
              <w:bottom w:val="single" w:sz="4" w:space="0" w:color="auto"/>
              <w:right w:val="single" w:sz="4" w:space="0" w:color="auto"/>
            </w:tcBorders>
            <w:vAlign w:val="center"/>
          </w:tcPr>
          <w:p w14:paraId="5CBE7492"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118AF19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-11</w:t>
            </w:r>
          </w:p>
        </w:tc>
        <w:tc>
          <w:tcPr>
            <w:tcW w:w="1500" w:type="dxa"/>
            <w:vMerge/>
            <w:tcBorders>
              <w:top w:val="single" w:sz="4" w:space="0" w:color="auto"/>
              <w:left w:val="single" w:sz="4" w:space="0" w:color="auto"/>
              <w:bottom w:val="single" w:sz="4" w:space="0" w:color="auto"/>
              <w:right w:val="single" w:sz="4" w:space="0" w:color="auto"/>
            </w:tcBorders>
            <w:vAlign w:val="center"/>
          </w:tcPr>
          <w:p w14:paraId="1A63CF15" w14:textId="77777777" w:rsidR="00000000" w:rsidRDefault="00000000">
            <w:pPr>
              <w:spacing w:before="25" w:after="25"/>
              <w:jc w:val="center"/>
              <w:rPr>
                <w:rFonts w:ascii="宋体" w:eastAsia="宋体" w:cs="宋体"/>
                <w:sz w:val="20"/>
                <w:szCs w:val="20"/>
              </w:rPr>
            </w:pPr>
          </w:p>
        </w:tc>
      </w:tr>
      <w:tr w:rsidR="00000000" w14:paraId="1CE45FA3"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23FCB0B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800</w:t>
            </w:r>
          </w:p>
        </w:tc>
        <w:tc>
          <w:tcPr>
            <w:tcW w:w="1500" w:type="dxa"/>
            <w:tcBorders>
              <w:top w:val="single" w:sz="4" w:space="0" w:color="auto"/>
              <w:left w:val="single" w:sz="4" w:space="0" w:color="auto"/>
              <w:bottom w:val="single" w:sz="4" w:space="0" w:color="auto"/>
              <w:right w:val="single" w:sz="4" w:space="0" w:color="auto"/>
            </w:tcBorders>
            <w:vAlign w:val="center"/>
          </w:tcPr>
          <w:p w14:paraId="30131DA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-11</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6864F4E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w:t>
            </w:r>
          </w:p>
        </w:tc>
        <w:tc>
          <w:tcPr>
            <w:tcW w:w="1500" w:type="dxa"/>
            <w:tcBorders>
              <w:top w:val="single" w:sz="4" w:space="0" w:color="auto"/>
              <w:left w:val="single" w:sz="4" w:space="0" w:color="auto"/>
              <w:bottom w:val="single" w:sz="4" w:space="0" w:color="auto"/>
              <w:right w:val="single" w:sz="4" w:space="0" w:color="auto"/>
            </w:tcBorders>
            <w:vAlign w:val="center"/>
          </w:tcPr>
          <w:p w14:paraId="0414BB2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-9</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2A5BC01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w:t>
            </w:r>
          </w:p>
        </w:tc>
      </w:tr>
      <w:tr w:rsidR="00000000" w14:paraId="3B36A06C"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0035B5A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1000</w:t>
            </w:r>
          </w:p>
        </w:tc>
        <w:tc>
          <w:tcPr>
            <w:tcW w:w="1500" w:type="dxa"/>
            <w:tcBorders>
              <w:top w:val="single" w:sz="4" w:space="0" w:color="auto"/>
              <w:left w:val="single" w:sz="4" w:space="0" w:color="auto"/>
              <w:bottom w:val="single" w:sz="4" w:space="0" w:color="auto"/>
              <w:right w:val="single" w:sz="4" w:space="0" w:color="auto"/>
            </w:tcBorders>
            <w:vAlign w:val="center"/>
          </w:tcPr>
          <w:p w14:paraId="27876FF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-10</w:t>
            </w:r>
          </w:p>
        </w:tc>
        <w:tc>
          <w:tcPr>
            <w:tcW w:w="1500" w:type="dxa"/>
            <w:vMerge/>
            <w:tcBorders>
              <w:top w:val="single" w:sz="4" w:space="0" w:color="auto"/>
              <w:left w:val="single" w:sz="4" w:space="0" w:color="auto"/>
              <w:bottom w:val="single" w:sz="4" w:space="0" w:color="auto"/>
              <w:right w:val="single" w:sz="4" w:space="0" w:color="auto"/>
            </w:tcBorders>
            <w:vAlign w:val="center"/>
          </w:tcPr>
          <w:p w14:paraId="11DE059C"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0D89F51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-8</w:t>
            </w:r>
          </w:p>
        </w:tc>
        <w:tc>
          <w:tcPr>
            <w:tcW w:w="1500" w:type="dxa"/>
            <w:vMerge/>
            <w:tcBorders>
              <w:top w:val="single" w:sz="4" w:space="0" w:color="auto"/>
              <w:left w:val="single" w:sz="4" w:space="0" w:color="auto"/>
              <w:bottom w:val="single" w:sz="4" w:space="0" w:color="auto"/>
              <w:right w:val="single" w:sz="4" w:space="0" w:color="auto"/>
            </w:tcBorders>
            <w:vAlign w:val="center"/>
          </w:tcPr>
          <w:p w14:paraId="008CF8EF" w14:textId="77777777" w:rsidR="00000000" w:rsidRDefault="00000000">
            <w:pPr>
              <w:spacing w:before="25" w:after="25"/>
              <w:jc w:val="center"/>
              <w:rPr>
                <w:rFonts w:ascii="宋体" w:eastAsia="宋体" w:cs="宋体"/>
                <w:sz w:val="20"/>
                <w:szCs w:val="20"/>
              </w:rPr>
            </w:pPr>
          </w:p>
        </w:tc>
      </w:tr>
      <w:tr w:rsidR="00000000" w14:paraId="4ABDDBB7"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39B5208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1250</w:t>
            </w:r>
          </w:p>
        </w:tc>
        <w:tc>
          <w:tcPr>
            <w:tcW w:w="1500" w:type="dxa"/>
            <w:tcBorders>
              <w:top w:val="single" w:sz="4" w:space="0" w:color="auto"/>
              <w:left w:val="single" w:sz="4" w:space="0" w:color="auto"/>
              <w:bottom w:val="single" w:sz="4" w:space="0" w:color="auto"/>
              <w:right w:val="single" w:sz="4" w:space="0" w:color="auto"/>
            </w:tcBorders>
            <w:vAlign w:val="center"/>
          </w:tcPr>
          <w:p w14:paraId="74ADE9C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-9</w:t>
            </w:r>
          </w:p>
        </w:tc>
        <w:tc>
          <w:tcPr>
            <w:tcW w:w="1500" w:type="dxa"/>
            <w:vMerge/>
            <w:tcBorders>
              <w:top w:val="single" w:sz="4" w:space="0" w:color="auto"/>
              <w:left w:val="single" w:sz="4" w:space="0" w:color="auto"/>
              <w:bottom w:val="single" w:sz="4" w:space="0" w:color="auto"/>
              <w:right w:val="single" w:sz="4" w:space="0" w:color="auto"/>
            </w:tcBorders>
            <w:vAlign w:val="center"/>
          </w:tcPr>
          <w:p w14:paraId="4EEE7878"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2D90732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-9</w:t>
            </w:r>
          </w:p>
        </w:tc>
        <w:tc>
          <w:tcPr>
            <w:tcW w:w="1500" w:type="dxa"/>
            <w:vMerge/>
            <w:tcBorders>
              <w:top w:val="single" w:sz="4" w:space="0" w:color="auto"/>
              <w:left w:val="single" w:sz="4" w:space="0" w:color="auto"/>
              <w:bottom w:val="single" w:sz="4" w:space="0" w:color="auto"/>
              <w:right w:val="single" w:sz="4" w:space="0" w:color="auto"/>
            </w:tcBorders>
            <w:vAlign w:val="center"/>
          </w:tcPr>
          <w:p w14:paraId="199D832C" w14:textId="77777777" w:rsidR="00000000" w:rsidRDefault="00000000">
            <w:pPr>
              <w:spacing w:before="25" w:after="25"/>
              <w:jc w:val="center"/>
              <w:rPr>
                <w:rFonts w:ascii="宋体" w:eastAsia="宋体" w:cs="宋体"/>
                <w:sz w:val="20"/>
                <w:szCs w:val="20"/>
              </w:rPr>
            </w:pPr>
          </w:p>
        </w:tc>
      </w:tr>
      <w:tr w:rsidR="00000000" w14:paraId="2DACC812"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70A2E62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1600</w:t>
            </w:r>
          </w:p>
        </w:tc>
        <w:tc>
          <w:tcPr>
            <w:tcW w:w="1500" w:type="dxa"/>
            <w:tcBorders>
              <w:top w:val="single" w:sz="4" w:space="0" w:color="auto"/>
              <w:left w:val="single" w:sz="4" w:space="0" w:color="auto"/>
              <w:bottom w:val="single" w:sz="4" w:space="0" w:color="auto"/>
              <w:right w:val="single" w:sz="4" w:space="0" w:color="auto"/>
            </w:tcBorders>
            <w:vAlign w:val="center"/>
          </w:tcPr>
          <w:p w14:paraId="34653F5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-9</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2B3CA5B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w:t>
            </w:r>
          </w:p>
        </w:tc>
        <w:tc>
          <w:tcPr>
            <w:tcW w:w="1500" w:type="dxa"/>
            <w:tcBorders>
              <w:top w:val="single" w:sz="4" w:space="0" w:color="auto"/>
              <w:left w:val="single" w:sz="4" w:space="0" w:color="auto"/>
              <w:bottom w:val="single" w:sz="4" w:space="0" w:color="auto"/>
              <w:right w:val="single" w:sz="4" w:space="0" w:color="auto"/>
            </w:tcBorders>
            <w:vAlign w:val="center"/>
          </w:tcPr>
          <w:p w14:paraId="50AED3B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-10</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14:paraId="5DFC288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-6</w:t>
            </w:r>
          </w:p>
        </w:tc>
      </w:tr>
      <w:tr w:rsidR="00000000" w14:paraId="7120230F"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5884376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2000</w:t>
            </w:r>
          </w:p>
        </w:tc>
        <w:tc>
          <w:tcPr>
            <w:tcW w:w="1500" w:type="dxa"/>
            <w:tcBorders>
              <w:top w:val="single" w:sz="4" w:space="0" w:color="auto"/>
              <w:left w:val="single" w:sz="4" w:space="0" w:color="auto"/>
              <w:bottom w:val="single" w:sz="4" w:space="0" w:color="auto"/>
              <w:right w:val="single" w:sz="4" w:space="0" w:color="auto"/>
            </w:tcBorders>
            <w:vAlign w:val="center"/>
          </w:tcPr>
          <w:p w14:paraId="634D39B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-9</w:t>
            </w:r>
          </w:p>
        </w:tc>
        <w:tc>
          <w:tcPr>
            <w:tcW w:w="1500" w:type="dxa"/>
            <w:vMerge/>
            <w:tcBorders>
              <w:top w:val="single" w:sz="4" w:space="0" w:color="auto"/>
              <w:left w:val="single" w:sz="4" w:space="0" w:color="auto"/>
              <w:bottom w:val="single" w:sz="4" w:space="0" w:color="auto"/>
              <w:right w:val="single" w:sz="4" w:space="0" w:color="auto"/>
            </w:tcBorders>
            <w:vAlign w:val="center"/>
          </w:tcPr>
          <w:p w14:paraId="24ACD5AA"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158D919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-11</w:t>
            </w:r>
          </w:p>
        </w:tc>
        <w:tc>
          <w:tcPr>
            <w:tcW w:w="1500" w:type="dxa"/>
            <w:vMerge/>
            <w:tcBorders>
              <w:top w:val="single" w:sz="4" w:space="0" w:color="auto"/>
              <w:left w:val="single" w:sz="4" w:space="0" w:color="auto"/>
              <w:bottom w:val="single" w:sz="4" w:space="0" w:color="auto"/>
              <w:right w:val="single" w:sz="4" w:space="0" w:color="auto"/>
            </w:tcBorders>
            <w:vAlign w:val="center"/>
          </w:tcPr>
          <w:p w14:paraId="7317BFA5" w14:textId="77777777" w:rsidR="00000000" w:rsidRDefault="00000000">
            <w:pPr>
              <w:spacing w:before="25" w:after="25"/>
              <w:jc w:val="center"/>
              <w:rPr>
                <w:rFonts w:ascii="宋体" w:eastAsia="宋体" w:cs="宋体"/>
                <w:sz w:val="20"/>
                <w:szCs w:val="20"/>
              </w:rPr>
            </w:pPr>
          </w:p>
        </w:tc>
      </w:tr>
      <w:tr w:rsidR="00000000" w14:paraId="05FDEA73"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78EDFC0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2500</w:t>
            </w:r>
          </w:p>
        </w:tc>
        <w:tc>
          <w:tcPr>
            <w:tcW w:w="1500" w:type="dxa"/>
            <w:tcBorders>
              <w:top w:val="single" w:sz="4" w:space="0" w:color="auto"/>
              <w:left w:val="single" w:sz="4" w:space="0" w:color="auto"/>
              <w:bottom w:val="single" w:sz="4" w:space="0" w:color="auto"/>
              <w:right w:val="single" w:sz="4" w:space="0" w:color="auto"/>
            </w:tcBorders>
            <w:vAlign w:val="center"/>
          </w:tcPr>
          <w:p w14:paraId="5CEB2D1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-9</w:t>
            </w:r>
          </w:p>
        </w:tc>
        <w:tc>
          <w:tcPr>
            <w:tcW w:w="1500" w:type="dxa"/>
            <w:vMerge/>
            <w:tcBorders>
              <w:top w:val="single" w:sz="4" w:space="0" w:color="auto"/>
              <w:left w:val="single" w:sz="4" w:space="0" w:color="auto"/>
              <w:bottom w:val="single" w:sz="4" w:space="0" w:color="auto"/>
              <w:right w:val="single" w:sz="4" w:space="0" w:color="auto"/>
            </w:tcBorders>
            <w:vAlign w:val="center"/>
          </w:tcPr>
          <w:p w14:paraId="452E2911"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16EA5D3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-13</w:t>
            </w:r>
          </w:p>
        </w:tc>
        <w:tc>
          <w:tcPr>
            <w:tcW w:w="1500" w:type="dxa"/>
            <w:vMerge/>
            <w:tcBorders>
              <w:top w:val="single" w:sz="4" w:space="0" w:color="auto"/>
              <w:left w:val="single" w:sz="4" w:space="0" w:color="auto"/>
              <w:bottom w:val="single" w:sz="4" w:space="0" w:color="auto"/>
              <w:right w:val="single" w:sz="4" w:space="0" w:color="auto"/>
            </w:tcBorders>
            <w:vAlign w:val="center"/>
          </w:tcPr>
          <w:p w14:paraId="38072AB3" w14:textId="77777777" w:rsidR="00000000" w:rsidRDefault="00000000">
            <w:pPr>
              <w:spacing w:before="25" w:after="25"/>
              <w:jc w:val="center"/>
              <w:rPr>
                <w:rFonts w:ascii="宋体" w:eastAsia="宋体" w:cs="宋体"/>
                <w:sz w:val="20"/>
                <w:szCs w:val="20"/>
              </w:rPr>
            </w:pPr>
          </w:p>
        </w:tc>
      </w:tr>
      <w:tr w:rsidR="00000000" w14:paraId="3DDA1338"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7917F3F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lastRenderedPageBreak/>
              <w:t>3150</w:t>
            </w:r>
          </w:p>
        </w:tc>
        <w:tc>
          <w:tcPr>
            <w:tcW w:w="1500" w:type="dxa"/>
            <w:tcBorders>
              <w:top w:val="single" w:sz="4" w:space="0" w:color="auto"/>
              <w:left w:val="single" w:sz="4" w:space="0" w:color="auto"/>
              <w:bottom w:val="single" w:sz="4" w:space="0" w:color="auto"/>
              <w:right w:val="single" w:sz="4" w:space="0" w:color="auto"/>
            </w:tcBorders>
            <w:vAlign w:val="center"/>
          </w:tcPr>
          <w:p w14:paraId="26F697A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-9</w:t>
            </w:r>
          </w:p>
        </w:tc>
        <w:tc>
          <w:tcPr>
            <w:tcW w:w="1500" w:type="dxa"/>
            <w:tcBorders>
              <w:top w:val="single" w:sz="4" w:space="0" w:color="auto"/>
              <w:left w:val="single" w:sz="4" w:space="0" w:color="auto"/>
              <w:bottom w:val="single" w:sz="4" w:space="0" w:color="auto"/>
              <w:right w:val="single" w:sz="4" w:space="0" w:color="auto"/>
            </w:tcBorders>
            <w:vAlign w:val="center"/>
          </w:tcPr>
          <w:p w14:paraId="5D23DA1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500" w:type="dxa"/>
            <w:tcBorders>
              <w:top w:val="single" w:sz="4" w:space="0" w:color="auto"/>
              <w:left w:val="single" w:sz="4" w:space="0" w:color="auto"/>
              <w:bottom w:val="single" w:sz="4" w:space="0" w:color="auto"/>
              <w:right w:val="single" w:sz="4" w:space="0" w:color="auto"/>
            </w:tcBorders>
            <w:vAlign w:val="center"/>
          </w:tcPr>
          <w:p w14:paraId="4373C0E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-15</w:t>
            </w:r>
          </w:p>
        </w:tc>
        <w:tc>
          <w:tcPr>
            <w:tcW w:w="1500" w:type="dxa"/>
            <w:tcBorders>
              <w:top w:val="single" w:sz="4" w:space="0" w:color="auto"/>
              <w:left w:val="single" w:sz="4" w:space="0" w:color="auto"/>
              <w:bottom w:val="single" w:sz="4" w:space="0" w:color="auto"/>
              <w:right w:val="single" w:sz="4" w:space="0" w:color="auto"/>
            </w:tcBorders>
            <w:vAlign w:val="center"/>
          </w:tcPr>
          <w:p w14:paraId="4ABC88D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r>
    </w:tbl>
    <w:p w14:paraId="72201BE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根据噪声源的不同，宜按照表5来选择频谱修正量。</w:t>
      </w:r>
    </w:p>
    <w:p w14:paraId="54DADDC8"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5 </w:t>
      </w:r>
      <w:r>
        <w:rPr>
          <w:rFonts w:ascii="宋体" w:eastAsia="宋体" w:cs="宋体" w:hint="eastAsia"/>
          <w:sz w:val="20"/>
          <w:szCs w:val="20"/>
        </w:rPr>
        <w:t>不同种类的噪声源及宜采用的频谱修正量</w:t>
      </w:r>
    </w:p>
    <w:tbl>
      <w:tblPr>
        <w:tblW w:w="0" w:type="auto"/>
        <w:jc w:val="center"/>
        <w:tblLayout w:type="fixed"/>
        <w:tblCellMar>
          <w:left w:w="100" w:type="dxa"/>
          <w:right w:w="100" w:type="dxa"/>
        </w:tblCellMar>
        <w:tblLook w:val="0000" w:firstRow="0" w:lastRow="0" w:firstColumn="0" w:lastColumn="0" w:noHBand="0" w:noVBand="0"/>
      </w:tblPr>
      <w:tblGrid>
        <w:gridCol w:w="4000"/>
        <w:gridCol w:w="4000"/>
      </w:tblGrid>
      <w:tr w:rsidR="00000000" w14:paraId="078D1540" w14:textId="77777777">
        <w:tblPrEx>
          <w:tblCellMar>
            <w:top w:w="0" w:type="dxa"/>
            <w:bottom w:w="0" w:type="dxa"/>
          </w:tblCellMar>
        </w:tblPrEx>
        <w:trPr>
          <w:jc w:val="center"/>
        </w:trPr>
        <w:tc>
          <w:tcPr>
            <w:tcW w:w="4000" w:type="dxa"/>
            <w:tcBorders>
              <w:top w:val="single" w:sz="4" w:space="0" w:color="auto"/>
              <w:left w:val="single" w:sz="4" w:space="0" w:color="auto"/>
              <w:bottom w:val="single" w:sz="4" w:space="0" w:color="auto"/>
              <w:right w:val="single" w:sz="4" w:space="0" w:color="auto"/>
            </w:tcBorders>
            <w:shd w:val="clear" w:color="auto" w:fill="AFAFAF"/>
            <w:vAlign w:val="center"/>
          </w:tcPr>
          <w:p w14:paraId="6B7B277B"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噪声源种类</w:t>
            </w:r>
          </w:p>
        </w:tc>
        <w:tc>
          <w:tcPr>
            <w:tcW w:w="4000" w:type="dxa"/>
            <w:tcBorders>
              <w:top w:val="single" w:sz="4" w:space="0" w:color="auto"/>
              <w:left w:val="single" w:sz="4" w:space="0" w:color="auto"/>
              <w:bottom w:val="single" w:sz="4" w:space="0" w:color="auto"/>
              <w:right w:val="single" w:sz="4" w:space="0" w:color="auto"/>
            </w:tcBorders>
            <w:shd w:val="clear" w:color="auto" w:fill="AFAFAF"/>
            <w:vAlign w:val="center"/>
          </w:tcPr>
          <w:p w14:paraId="6EA6941D"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宜采用的频谱修正量</w:t>
            </w:r>
          </w:p>
        </w:tc>
      </w:tr>
      <w:tr w:rsidR="00000000" w14:paraId="6AA088E7" w14:textId="77777777">
        <w:tblPrEx>
          <w:tblCellMar>
            <w:top w:w="0" w:type="dxa"/>
            <w:bottom w:w="0" w:type="dxa"/>
          </w:tblCellMar>
        </w:tblPrEx>
        <w:trPr>
          <w:trHeight w:val="285"/>
          <w:jc w:val="center"/>
        </w:trPr>
        <w:tc>
          <w:tcPr>
            <w:tcW w:w="4000" w:type="dxa"/>
            <w:vMerge w:val="restart"/>
            <w:tcBorders>
              <w:top w:val="single" w:sz="4" w:space="0" w:color="auto"/>
              <w:left w:val="single" w:sz="4" w:space="0" w:color="auto"/>
              <w:bottom w:val="single" w:sz="4" w:space="0" w:color="auto"/>
              <w:right w:val="single" w:sz="4" w:space="0" w:color="auto"/>
            </w:tcBorders>
            <w:vAlign w:val="center"/>
          </w:tcPr>
          <w:p w14:paraId="4A74DD57" w14:textId="77777777" w:rsidR="00000000" w:rsidRDefault="00000000">
            <w:pPr>
              <w:spacing w:before="25" w:after="25"/>
              <w:jc w:val="both"/>
              <w:rPr>
                <w:rFonts w:ascii="宋体" w:eastAsia="宋体" w:cs="宋体"/>
                <w:sz w:val="20"/>
                <w:szCs w:val="20"/>
              </w:rPr>
            </w:pPr>
            <w:r>
              <w:rPr>
                <w:rFonts w:ascii="宋体" w:eastAsia="宋体" w:cs="宋体" w:hint="eastAsia"/>
                <w:sz w:val="20"/>
                <w:szCs w:val="20"/>
              </w:rPr>
              <w:t>日常活动（谈话、音乐、收音机和电视）</w:t>
            </w:r>
            <w:r>
              <w:rPr>
                <w:rFonts w:ascii="宋体" w:eastAsia="宋体" w:cs="宋体"/>
                <w:sz w:val="20"/>
                <w:szCs w:val="20"/>
              </w:rPr>
              <w:br/>
            </w:r>
            <w:r>
              <w:rPr>
                <w:rFonts w:ascii="宋体" w:eastAsia="宋体" w:cs="宋体" w:hint="eastAsia"/>
                <w:sz w:val="20"/>
                <w:szCs w:val="20"/>
              </w:rPr>
              <w:t xml:space="preserve">轨道交通，中速和高速 </w:t>
            </w:r>
            <w:r>
              <w:rPr>
                <w:rFonts w:ascii="宋体" w:eastAsia="宋体" w:cs="宋体"/>
                <w:sz w:val="20"/>
                <w:szCs w:val="20"/>
              </w:rPr>
              <w:br/>
            </w:r>
            <w:r>
              <w:rPr>
                <w:rFonts w:ascii="宋体" w:eastAsia="宋体" w:cs="宋体" w:hint="eastAsia"/>
                <w:sz w:val="20"/>
                <w:szCs w:val="20"/>
              </w:rPr>
              <w:t xml:space="preserve">高速公路交通，速度&gt;80km/h </w:t>
            </w:r>
            <w:r>
              <w:rPr>
                <w:rFonts w:ascii="宋体" w:eastAsia="宋体" w:cs="宋体"/>
                <w:sz w:val="20"/>
                <w:szCs w:val="20"/>
              </w:rPr>
              <w:br/>
            </w:r>
            <w:r>
              <w:rPr>
                <w:rFonts w:ascii="宋体" w:eastAsia="宋体" w:cs="宋体" w:hint="eastAsia"/>
                <w:sz w:val="20"/>
                <w:szCs w:val="20"/>
              </w:rPr>
              <w:t xml:space="preserve">喷漆飞机，近距离 </w:t>
            </w:r>
            <w:r>
              <w:rPr>
                <w:rFonts w:ascii="宋体" w:eastAsia="宋体" w:cs="宋体"/>
                <w:sz w:val="20"/>
                <w:szCs w:val="20"/>
              </w:rPr>
              <w:br/>
            </w:r>
            <w:r>
              <w:rPr>
                <w:rFonts w:ascii="宋体" w:eastAsia="宋体" w:cs="宋体" w:hint="eastAsia"/>
                <w:sz w:val="20"/>
                <w:szCs w:val="20"/>
              </w:rPr>
              <w:t>注意辐射中高频噪声的措施</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14:paraId="005C2914" w14:textId="77777777" w:rsidR="00000000" w:rsidRDefault="00000000">
            <w:pPr>
              <w:spacing w:before="25" w:after="25"/>
              <w:jc w:val="both"/>
              <w:rPr>
                <w:rFonts w:ascii="宋体" w:eastAsia="宋体" w:cs="宋体"/>
                <w:sz w:val="20"/>
                <w:szCs w:val="20"/>
              </w:rPr>
            </w:pPr>
            <w:r>
              <w:rPr>
                <w:rFonts w:ascii="宋体" w:eastAsia="宋体" w:cs="宋体" w:hint="eastAsia"/>
                <w:sz w:val="20"/>
                <w:szCs w:val="20"/>
              </w:rPr>
              <w:t>粉红噪声修正量C（中高频）</w:t>
            </w:r>
          </w:p>
        </w:tc>
      </w:tr>
      <w:tr w:rsidR="00000000" w14:paraId="50988155"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2BB0FF4E"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403F1F17" w14:textId="77777777" w:rsidR="00000000" w:rsidRDefault="00000000">
            <w:pPr>
              <w:spacing w:before="25" w:after="25"/>
              <w:jc w:val="both"/>
              <w:rPr>
                <w:rFonts w:ascii="宋体" w:eastAsia="宋体" w:cs="宋体"/>
                <w:sz w:val="20"/>
                <w:szCs w:val="20"/>
              </w:rPr>
            </w:pPr>
          </w:p>
        </w:tc>
      </w:tr>
      <w:tr w:rsidR="00000000" w14:paraId="15172211"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05A67AC4"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5EC05F5B" w14:textId="77777777" w:rsidR="00000000" w:rsidRDefault="00000000">
            <w:pPr>
              <w:spacing w:before="25" w:after="25"/>
              <w:jc w:val="both"/>
              <w:rPr>
                <w:rFonts w:ascii="宋体" w:eastAsia="宋体" w:cs="宋体"/>
                <w:sz w:val="20"/>
                <w:szCs w:val="20"/>
              </w:rPr>
            </w:pPr>
          </w:p>
        </w:tc>
      </w:tr>
      <w:tr w:rsidR="00000000" w14:paraId="4A0CC78E"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3382B141"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37D6E49A" w14:textId="77777777" w:rsidR="00000000" w:rsidRDefault="00000000">
            <w:pPr>
              <w:spacing w:before="25" w:after="25"/>
              <w:jc w:val="both"/>
              <w:rPr>
                <w:rFonts w:ascii="宋体" w:eastAsia="宋体" w:cs="宋体"/>
                <w:sz w:val="20"/>
                <w:szCs w:val="20"/>
              </w:rPr>
            </w:pPr>
          </w:p>
        </w:tc>
      </w:tr>
      <w:tr w:rsidR="00000000" w14:paraId="62712C23"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675063BB"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120EF246" w14:textId="77777777" w:rsidR="00000000" w:rsidRDefault="00000000">
            <w:pPr>
              <w:spacing w:before="25" w:after="25"/>
              <w:jc w:val="both"/>
              <w:rPr>
                <w:rFonts w:ascii="宋体" w:eastAsia="宋体" w:cs="宋体"/>
                <w:sz w:val="20"/>
                <w:szCs w:val="20"/>
              </w:rPr>
            </w:pPr>
          </w:p>
        </w:tc>
      </w:tr>
      <w:tr w:rsidR="00000000" w14:paraId="233010C5"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2AB72A36"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4FDB17E2" w14:textId="77777777" w:rsidR="00000000" w:rsidRDefault="00000000">
            <w:pPr>
              <w:spacing w:before="25" w:after="25"/>
              <w:jc w:val="both"/>
              <w:rPr>
                <w:rFonts w:ascii="宋体" w:eastAsia="宋体" w:cs="宋体"/>
                <w:sz w:val="20"/>
                <w:szCs w:val="20"/>
              </w:rPr>
            </w:pPr>
          </w:p>
        </w:tc>
      </w:tr>
      <w:tr w:rsidR="00000000" w14:paraId="1DE7CC6E" w14:textId="77777777">
        <w:tblPrEx>
          <w:tblCellMar>
            <w:top w:w="0" w:type="dxa"/>
            <w:bottom w:w="0" w:type="dxa"/>
          </w:tblCellMar>
        </w:tblPrEx>
        <w:trPr>
          <w:trHeight w:val="285"/>
          <w:jc w:val="center"/>
        </w:trPr>
        <w:tc>
          <w:tcPr>
            <w:tcW w:w="4000" w:type="dxa"/>
            <w:vMerge w:val="restart"/>
            <w:tcBorders>
              <w:top w:val="single" w:sz="4" w:space="0" w:color="auto"/>
              <w:left w:val="single" w:sz="4" w:space="0" w:color="auto"/>
              <w:bottom w:val="single" w:sz="4" w:space="0" w:color="auto"/>
              <w:right w:val="single" w:sz="4" w:space="0" w:color="auto"/>
            </w:tcBorders>
            <w:vAlign w:val="center"/>
          </w:tcPr>
          <w:p w14:paraId="06001CFA" w14:textId="77777777" w:rsidR="00000000" w:rsidRDefault="00000000">
            <w:pPr>
              <w:spacing w:before="25" w:after="25"/>
              <w:jc w:val="both"/>
              <w:rPr>
                <w:rFonts w:ascii="宋体" w:eastAsia="宋体" w:cs="宋体"/>
                <w:sz w:val="20"/>
                <w:szCs w:val="20"/>
              </w:rPr>
            </w:pPr>
            <w:r>
              <w:rPr>
                <w:rFonts w:ascii="宋体" w:eastAsia="宋体" w:cs="宋体" w:hint="eastAsia"/>
                <w:sz w:val="20"/>
                <w:szCs w:val="20"/>
              </w:rPr>
              <w:t>城市交通噪声</w:t>
            </w:r>
            <w:r>
              <w:rPr>
                <w:rFonts w:ascii="宋体" w:eastAsia="宋体" w:cs="宋体"/>
                <w:sz w:val="20"/>
                <w:szCs w:val="20"/>
              </w:rPr>
              <w:br/>
            </w:r>
            <w:r>
              <w:rPr>
                <w:rFonts w:ascii="宋体" w:eastAsia="宋体" w:cs="宋体" w:hint="eastAsia"/>
                <w:sz w:val="20"/>
                <w:szCs w:val="20"/>
              </w:rPr>
              <w:t>轨道交通，低速</w:t>
            </w:r>
            <w:r>
              <w:rPr>
                <w:rFonts w:ascii="宋体" w:eastAsia="宋体" w:cs="宋体"/>
                <w:sz w:val="20"/>
                <w:szCs w:val="20"/>
              </w:rPr>
              <w:br/>
            </w:r>
            <w:r>
              <w:rPr>
                <w:rFonts w:ascii="宋体" w:eastAsia="宋体" w:cs="宋体" w:hint="eastAsia"/>
                <w:sz w:val="20"/>
                <w:szCs w:val="20"/>
              </w:rPr>
              <w:t>螺旋桨飞机</w:t>
            </w:r>
            <w:r>
              <w:rPr>
                <w:rFonts w:ascii="宋体" w:eastAsia="宋体" w:cs="宋体"/>
                <w:sz w:val="20"/>
                <w:szCs w:val="20"/>
              </w:rPr>
              <w:br/>
            </w:r>
            <w:r>
              <w:rPr>
                <w:rFonts w:ascii="宋体" w:eastAsia="宋体" w:cs="宋体" w:hint="eastAsia"/>
                <w:sz w:val="20"/>
                <w:szCs w:val="20"/>
              </w:rPr>
              <w:t>喷漆飞机，远距离</w:t>
            </w:r>
            <w:r>
              <w:rPr>
                <w:rFonts w:ascii="宋体" w:eastAsia="宋体" w:cs="宋体"/>
                <w:sz w:val="20"/>
                <w:szCs w:val="20"/>
              </w:rPr>
              <w:br/>
            </w:r>
            <w:r>
              <w:rPr>
                <w:rFonts w:ascii="宋体" w:eastAsia="宋体" w:cs="宋体" w:hint="eastAsia"/>
                <w:sz w:val="20"/>
                <w:szCs w:val="20"/>
              </w:rPr>
              <w:t>Disco音乐</w:t>
            </w:r>
            <w:r>
              <w:rPr>
                <w:rFonts w:ascii="宋体" w:eastAsia="宋体" w:cs="宋体"/>
                <w:sz w:val="20"/>
                <w:szCs w:val="20"/>
              </w:rPr>
              <w:br/>
            </w:r>
            <w:r>
              <w:rPr>
                <w:rFonts w:ascii="宋体" w:eastAsia="宋体" w:cs="宋体" w:hint="eastAsia"/>
                <w:sz w:val="20"/>
                <w:szCs w:val="20"/>
              </w:rPr>
              <w:t xml:space="preserve">注意辐射低中频噪声的设施 </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14:paraId="4D645A44" w14:textId="77777777" w:rsidR="00000000" w:rsidRDefault="00000000">
            <w:pPr>
              <w:spacing w:before="25" w:after="25"/>
              <w:jc w:val="both"/>
              <w:rPr>
                <w:rFonts w:ascii="宋体" w:eastAsia="宋体" w:cs="宋体"/>
                <w:sz w:val="20"/>
                <w:szCs w:val="20"/>
              </w:rPr>
            </w:pPr>
            <w:r>
              <w:rPr>
                <w:rFonts w:ascii="宋体" w:eastAsia="宋体" w:cs="宋体" w:hint="eastAsia"/>
                <w:sz w:val="20"/>
                <w:szCs w:val="20"/>
              </w:rPr>
              <w:t>交通噪声修正量Ctr（中低频）</w:t>
            </w:r>
          </w:p>
        </w:tc>
      </w:tr>
      <w:tr w:rsidR="00000000" w14:paraId="1CC3ED4E"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609A56C0"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1BFEE5D5" w14:textId="77777777" w:rsidR="00000000" w:rsidRDefault="00000000">
            <w:pPr>
              <w:spacing w:before="25" w:after="25"/>
              <w:jc w:val="both"/>
              <w:rPr>
                <w:rFonts w:ascii="宋体" w:eastAsia="宋体" w:cs="宋体"/>
                <w:sz w:val="20"/>
                <w:szCs w:val="20"/>
              </w:rPr>
            </w:pPr>
          </w:p>
        </w:tc>
      </w:tr>
      <w:tr w:rsidR="00000000" w14:paraId="060B8292"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23738368"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2184FDDB" w14:textId="77777777" w:rsidR="00000000" w:rsidRDefault="00000000">
            <w:pPr>
              <w:spacing w:before="25" w:after="25"/>
              <w:jc w:val="both"/>
              <w:rPr>
                <w:rFonts w:ascii="宋体" w:eastAsia="宋体" w:cs="宋体"/>
                <w:sz w:val="20"/>
                <w:szCs w:val="20"/>
              </w:rPr>
            </w:pPr>
          </w:p>
        </w:tc>
      </w:tr>
      <w:tr w:rsidR="00000000" w14:paraId="07764157"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029CBD83"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521EECFB" w14:textId="77777777" w:rsidR="00000000" w:rsidRDefault="00000000">
            <w:pPr>
              <w:spacing w:before="25" w:after="25"/>
              <w:jc w:val="both"/>
              <w:rPr>
                <w:rFonts w:ascii="宋体" w:eastAsia="宋体" w:cs="宋体"/>
                <w:sz w:val="20"/>
                <w:szCs w:val="20"/>
              </w:rPr>
            </w:pPr>
          </w:p>
        </w:tc>
      </w:tr>
      <w:tr w:rsidR="00000000" w14:paraId="5DABBDE1"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5EB55D27"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6EC383FF" w14:textId="77777777" w:rsidR="00000000" w:rsidRDefault="00000000">
            <w:pPr>
              <w:spacing w:before="25" w:after="25"/>
              <w:jc w:val="both"/>
              <w:rPr>
                <w:rFonts w:ascii="宋体" w:eastAsia="宋体" w:cs="宋体"/>
                <w:sz w:val="20"/>
                <w:szCs w:val="20"/>
              </w:rPr>
            </w:pPr>
          </w:p>
        </w:tc>
      </w:tr>
      <w:tr w:rsidR="00000000" w14:paraId="3D9B5164" w14:textId="77777777">
        <w:tblPrEx>
          <w:tblCellMar>
            <w:top w:w="0" w:type="dxa"/>
            <w:bottom w:w="0" w:type="dxa"/>
          </w:tblCellMar>
        </w:tblPrEx>
        <w:trPr>
          <w:trHeight w:val="310"/>
          <w:jc w:val="center"/>
        </w:trPr>
        <w:tc>
          <w:tcPr>
            <w:tcW w:w="4000" w:type="dxa"/>
            <w:vMerge/>
            <w:tcBorders>
              <w:top w:val="single" w:sz="4" w:space="0" w:color="auto"/>
              <w:left w:val="single" w:sz="4" w:space="0" w:color="auto"/>
              <w:bottom w:val="single" w:sz="4" w:space="0" w:color="auto"/>
              <w:right w:val="single" w:sz="4" w:space="0" w:color="auto"/>
            </w:tcBorders>
            <w:vAlign w:val="center"/>
          </w:tcPr>
          <w:p w14:paraId="20A03E7A" w14:textId="77777777" w:rsidR="00000000" w:rsidRDefault="00000000">
            <w:pPr>
              <w:spacing w:before="25" w:after="25"/>
              <w:jc w:val="both"/>
              <w:rPr>
                <w:rFonts w:ascii="宋体" w:eastAsia="宋体" w:cs="宋体"/>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tcPr>
          <w:p w14:paraId="3E898AB7" w14:textId="77777777" w:rsidR="00000000" w:rsidRDefault="00000000">
            <w:pPr>
              <w:spacing w:before="25" w:after="25"/>
              <w:jc w:val="both"/>
              <w:rPr>
                <w:rFonts w:ascii="宋体" w:eastAsia="宋体" w:cs="宋体"/>
                <w:sz w:val="20"/>
                <w:szCs w:val="20"/>
              </w:rPr>
            </w:pPr>
          </w:p>
        </w:tc>
      </w:tr>
    </w:tbl>
    <w:p w14:paraId="0A8E4B0A"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3.7 </w:t>
      </w:r>
      <w:r>
        <w:rPr>
          <w:rFonts w:ascii="微软雅黑" w:eastAsia="微软雅黑" w:cs="微软雅黑" w:hint="eastAsia"/>
          <w:b/>
          <w:bCs/>
          <w:spacing w:val="20"/>
        </w:rPr>
        <w:t>组合隔声量</w:t>
      </w:r>
    </w:p>
    <w:p w14:paraId="0FE16CB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透声系数是指在给定频率和条件下，经过分界面（墙或间壁等）的透射声能通量与入射声能通量之比。一般指两个扩散声场间的声能传输，否则应具体说明测量条件。</w:t>
      </w:r>
    </w:p>
    <w:p w14:paraId="5614772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透声系数按照下式计算：</w:t>
      </w:r>
    </w:p>
    <w:p w14:paraId="6A2C08BA"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 xml:space="preserve">EQ </w:instrText>
      </w:r>
      <w:r>
        <w:rPr>
          <w:rFonts w:eastAsia="微软雅黑"/>
          <w:i/>
          <w:iCs/>
          <w:sz w:val="21"/>
          <w:szCs w:val="21"/>
        </w:rPr>
        <w:instrText>τ</w:instrText>
      </w:r>
      <w:r>
        <w:rPr>
          <w:rFonts w:eastAsia="微软雅黑"/>
          <w:sz w:val="21"/>
          <w:szCs w:val="21"/>
        </w:rPr>
        <w:instrText xml:space="preserve"> = 10\s(</w:instrText>
      </w:r>
      <w:r>
        <w:rPr>
          <w:rFonts w:eastAsia="微软雅黑"/>
          <w:sz w:val="14"/>
          <w:szCs w:val="14"/>
        </w:rPr>
        <w:instrText>-0.1R</w:instrText>
      </w:r>
      <w:r>
        <w:rPr>
          <w:rFonts w:eastAsia="微软雅黑"/>
          <w:sz w:val="21"/>
          <w:szCs w:val="21"/>
        </w:rPr>
        <w:instrText>,)</w:instrText>
      </w:r>
      <w:r>
        <w:rPr>
          <w:rFonts w:eastAsia="微软雅黑"/>
          <w:sz w:val="21"/>
          <w:szCs w:val="21"/>
        </w:rPr>
        <w:fldChar w:fldCharType="end"/>
      </w:r>
    </w:p>
    <w:p w14:paraId="3657C78C"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式中，</w:t>
      </w:r>
      <w:r>
        <w:rPr>
          <w:rFonts w:eastAsia="微软雅黑"/>
          <w:i/>
          <w:iCs/>
          <w:sz w:val="21"/>
          <w:szCs w:val="21"/>
        </w:rPr>
        <w:t>τ</w:t>
      </w:r>
      <w:r>
        <w:rPr>
          <w:rFonts w:ascii="微软雅黑" w:eastAsia="微软雅黑" w:cs="微软雅黑" w:hint="eastAsia"/>
          <w:sz w:val="21"/>
          <w:szCs w:val="21"/>
        </w:rPr>
        <w:t>——透声系数；</w:t>
      </w:r>
    </w:p>
    <w:p w14:paraId="608F28FD"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R</w:t>
      </w:r>
      <w:r>
        <w:rPr>
          <w:rFonts w:ascii="微软雅黑" w:eastAsia="微软雅黑" w:cs="微软雅黑" w:hint="eastAsia"/>
          <w:sz w:val="21"/>
          <w:szCs w:val="21"/>
        </w:rPr>
        <w:t>——隔声量，</w:t>
      </w:r>
      <w:r>
        <w:rPr>
          <w:rFonts w:eastAsia="微软雅黑"/>
          <w:sz w:val="21"/>
          <w:szCs w:val="21"/>
        </w:rPr>
        <w:t>dB</w:t>
      </w:r>
      <w:r>
        <w:rPr>
          <w:rFonts w:ascii="微软雅黑" w:eastAsia="微软雅黑" w:cs="微软雅黑" w:hint="eastAsia"/>
          <w:sz w:val="21"/>
          <w:szCs w:val="21"/>
        </w:rPr>
        <w:t>。</w:t>
      </w:r>
    </w:p>
    <w:p w14:paraId="6F2457A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由于外围护结构是由多个构件组合而成，即在墙上带有门、窗。一般地说，门窗的隔声量要比均质密实的墙差，因此组合墙的隔声量经常比墙体本身的隔声量低，在等传声度的原则下，组合墙的平均透声系数为：</w:t>
      </w:r>
    </w:p>
    <w:p w14:paraId="6043E1DB"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EQ \x\to(</w:instrText>
      </w:r>
      <w:r>
        <w:rPr>
          <w:rFonts w:eastAsia="微软雅黑"/>
          <w:i/>
          <w:iCs/>
          <w:sz w:val="21"/>
          <w:szCs w:val="21"/>
        </w:rPr>
        <w:instrText>τ</w:instrText>
      </w:r>
      <w:r>
        <w:rPr>
          <w:rFonts w:eastAsia="微软雅黑"/>
          <w:sz w:val="21"/>
          <w:szCs w:val="21"/>
        </w:rPr>
        <w:instrText>) = \f(Σ</w:instrText>
      </w:r>
      <w:r>
        <w:rPr>
          <w:rFonts w:eastAsia="微软雅黑"/>
          <w:i/>
          <w:iCs/>
          <w:sz w:val="21"/>
          <w:szCs w:val="21"/>
        </w:rPr>
        <w:instrText>τ</w:instrText>
      </w:r>
      <w:r>
        <w:rPr>
          <w:rFonts w:eastAsia="微软雅黑"/>
          <w:i/>
          <w:iCs/>
          <w:sz w:val="21"/>
          <w:szCs w:val="21"/>
          <w:vertAlign w:val="subscript"/>
        </w:rPr>
        <w:instrText>i</w:instrText>
      </w:r>
      <w:r>
        <w:rPr>
          <w:rFonts w:eastAsia="微软雅黑"/>
          <w:i/>
          <w:iCs/>
          <w:sz w:val="21"/>
          <w:szCs w:val="21"/>
        </w:rPr>
        <w:instrText>S</w:instrText>
      </w:r>
      <w:r>
        <w:rPr>
          <w:rFonts w:eastAsia="微软雅黑"/>
          <w:i/>
          <w:iCs/>
          <w:sz w:val="21"/>
          <w:szCs w:val="21"/>
          <w:vertAlign w:val="subscript"/>
        </w:rPr>
        <w:instrText>i</w:instrText>
      </w:r>
      <w:r>
        <w:rPr>
          <w:rFonts w:eastAsia="微软雅黑"/>
          <w:sz w:val="21"/>
          <w:szCs w:val="21"/>
        </w:rPr>
        <w:instrText>,Σ</w:instrText>
      </w:r>
      <w:r>
        <w:rPr>
          <w:rFonts w:eastAsia="微软雅黑"/>
          <w:i/>
          <w:iCs/>
          <w:sz w:val="21"/>
          <w:szCs w:val="21"/>
        </w:rPr>
        <w:instrText>S</w:instrText>
      </w:r>
      <w:r>
        <w:rPr>
          <w:rFonts w:eastAsia="微软雅黑"/>
          <w:i/>
          <w:iCs/>
          <w:sz w:val="21"/>
          <w:szCs w:val="21"/>
          <w:vertAlign w:val="subscript"/>
        </w:rPr>
        <w:instrText>i</w:instrText>
      </w:r>
      <w:r>
        <w:rPr>
          <w:rFonts w:eastAsia="微软雅黑"/>
          <w:sz w:val="21"/>
          <w:szCs w:val="21"/>
        </w:rPr>
        <w:instrText>)</w:instrText>
      </w:r>
      <w:r>
        <w:rPr>
          <w:rFonts w:eastAsia="微软雅黑"/>
          <w:sz w:val="21"/>
          <w:szCs w:val="21"/>
        </w:rPr>
        <w:fldChar w:fldCharType="end"/>
      </w:r>
    </w:p>
    <w:p w14:paraId="273C8B51"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式中，</w:t>
      </w:r>
      <w:r>
        <w:rPr>
          <w:rFonts w:eastAsia="微软雅黑"/>
          <w:sz w:val="21"/>
          <w:szCs w:val="21"/>
        </w:rPr>
        <w:fldChar w:fldCharType="begin"/>
      </w:r>
      <w:r>
        <w:rPr>
          <w:rFonts w:eastAsia="微软雅黑"/>
          <w:sz w:val="21"/>
          <w:szCs w:val="21"/>
        </w:rPr>
        <w:instrText>EQ \x\to(</w:instrText>
      </w:r>
      <w:r>
        <w:rPr>
          <w:rFonts w:eastAsia="微软雅黑"/>
          <w:i/>
          <w:iCs/>
          <w:sz w:val="21"/>
          <w:szCs w:val="21"/>
        </w:rPr>
        <w:instrText>τ</w:instrText>
      </w:r>
      <w:r>
        <w:rPr>
          <w:rFonts w:eastAsia="微软雅黑"/>
          <w:sz w:val="21"/>
          <w:szCs w:val="21"/>
        </w:rPr>
        <w:instrText>)</w:instrText>
      </w:r>
      <w:r>
        <w:rPr>
          <w:rFonts w:eastAsia="微软雅黑"/>
          <w:sz w:val="21"/>
          <w:szCs w:val="21"/>
        </w:rPr>
        <w:fldChar w:fldCharType="end"/>
      </w:r>
      <w:r>
        <w:rPr>
          <w:rFonts w:ascii="微软雅黑" w:eastAsia="微软雅黑" w:cs="微软雅黑" w:hint="eastAsia"/>
          <w:sz w:val="21"/>
          <w:szCs w:val="21"/>
        </w:rPr>
        <w:t>——组合墙平均透声系数；</w:t>
      </w:r>
    </w:p>
    <w:p w14:paraId="58B96676"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τ</w:t>
      </w:r>
      <w:r>
        <w:rPr>
          <w:rFonts w:eastAsia="微软雅黑"/>
          <w:sz w:val="21"/>
          <w:szCs w:val="21"/>
          <w:vertAlign w:val="subscript"/>
        </w:rPr>
        <w:t>i</w:t>
      </w:r>
      <w:r>
        <w:rPr>
          <w:rFonts w:ascii="微软雅黑" w:eastAsia="微软雅黑" w:cs="微软雅黑" w:hint="eastAsia"/>
          <w:sz w:val="21"/>
          <w:szCs w:val="21"/>
        </w:rPr>
        <w:t>——组合墙上各构件的透声系数；</w:t>
      </w:r>
    </w:p>
    <w:p w14:paraId="5B9C9402"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S</w:t>
      </w:r>
      <w:r>
        <w:rPr>
          <w:rFonts w:eastAsia="微软雅黑"/>
          <w:sz w:val="21"/>
          <w:szCs w:val="21"/>
          <w:vertAlign w:val="subscript"/>
        </w:rPr>
        <w:t>i</w:t>
      </w:r>
      <w:r>
        <w:rPr>
          <w:rFonts w:ascii="微软雅黑" w:eastAsia="微软雅黑" w:cs="微软雅黑" w:hint="eastAsia"/>
          <w:sz w:val="21"/>
          <w:szCs w:val="21"/>
        </w:rPr>
        <w:t>——组合墙上各构件的面积，</w:t>
      </w:r>
      <w:r>
        <w:rPr>
          <w:rFonts w:eastAsia="微软雅黑"/>
          <w:i/>
          <w:iCs/>
          <w:sz w:val="21"/>
          <w:szCs w:val="21"/>
        </w:rPr>
        <w:t>m</w:t>
      </w:r>
      <w:r>
        <w:rPr>
          <w:rFonts w:eastAsia="微软雅黑"/>
          <w:sz w:val="21"/>
          <w:szCs w:val="21"/>
          <w:vertAlign w:val="superscript"/>
        </w:rPr>
        <w:t>2</w:t>
      </w:r>
      <w:r>
        <w:rPr>
          <w:rFonts w:ascii="微软雅黑" w:eastAsia="微软雅黑" w:cs="微软雅黑" w:hint="eastAsia"/>
          <w:sz w:val="21"/>
          <w:szCs w:val="21"/>
        </w:rPr>
        <w:t>；</w:t>
      </w:r>
    </w:p>
    <w:p w14:paraId="20E6F41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则组合墙的平均隔声量为：</w:t>
      </w:r>
    </w:p>
    <w:p w14:paraId="572E9DEC" w14:textId="77777777" w:rsidR="00000000" w:rsidRDefault="00000000">
      <w:pPr>
        <w:spacing w:line="400" w:lineRule="atLeast"/>
        <w:jc w:val="center"/>
        <w:rPr>
          <w:rFonts w:ascii="微软雅黑" w:eastAsia="微软雅黑" w:cs="微软雅黑"/>
          <w:sz w:val="21"/>
          <w:szCs w:val="21"/>
        </w:rPr>
      </w:pPr>
      <w:r>
        <w:rPr>
          <w:rFonts w:eastAsia="微软雅黑"/>
          <w:sz w:val="21"/>
          <w:szCs w:val="21"/>
        </w:rPr>
        <w:fldChar w:fldCharType="begin"/>
      </w:r>
      <w:r>
        <w:rPr>
          <w:rFonts w:eastAsia="微软雅黑"/>
          <w:sz w:val="21"/>
          <w:szCs w:val="21"/>
        </w:rPr>
        <w:instrText>EQ \x\to(</w:instrText>
      </w:r>
      <w:r>
        <w:rPr>
          <w:rFonts w:eastAsia="微软雅黑"/>
          <w:i/>
          <w:iCs/>
          <w:sz w:val="21"/>
          <w:szCs w:val="21"/>
        </w:rPr>
        <w:instrText>R</w:instrText>
      </w:r>
      <w:r>
        <w:rPr>
          <w:rFonts w:eastAsia="微软雅黑"/>
          <w:sz w:val="21"/>
          <w:szCs w:val="21"/>
        </w:rPr>
        <w:instrText>) = 10 lg\f(1,\x\to(</w:instrText>
      </w:r>
      <w:r>
        <w:rPr>
          <w:rFonts w:eastAsia="微软雅黑"/>
          <w:i/>
          <w:iCs/>
          <w:sz w:val="21"/>
          <w:szCs w:val="21"/>
        </w:rPr>
        <w:instrText>τ</w:instrText>
      </w:r>
      <w:r>
        <w:rPr>
          <w:rFonts w:eastAsia="微软雅黑"/>
          <w:sz w:val="21"/>
          <w:szCs w:val="21"/>
        </w:rPr>
        <w:instrText>)) = 10 lg\b(\f(Σ</w:instrText>
      </w:r>
      <w:r>
        <w:rPr>
          <w:rFonts w:eastAsia="微软雅黑"/>
          <w:i/>
          <w:iCs/>
          <w:sz w:val="21"/>
          <w:szCs w:val="21"/>
        </w:rPr>
        <w:instrText>S</w:instrText>
      </w:r>
      <w:r>
        <w:rPr>
          <w:rFonts w:eastAsia="微软雅黑"/>
          <w:i/>
          <w:iCs/>
          <w:sz w:val="21"/>
          <w:szCs w:val="21"/>
          <w:vertAlign w:val="subscript"/>
        </w:rPr>
        <w:instrText>i</w:instrText>
      </w:r>
      <w:r>
        <w:rPr>
          <w:rFonts w:eastAsia="微软雅黑"/>
          <w:sz w:val="21"/>
          <w:szCs w:val="21"/>
        </w:rPr>
        <w:instrText>,Σ</w:instrText>
      </w:r>
      <w:r>
        <w:rPr>
          <w:rFonts w:eastAsia="微软雅黑"/>
          <w:i/>
          <w:iCs/>
          <w:sz w:val="21"/>
          <w:szCs w:val="21"/>
        </w:rPr>
        <w:instrText>S</w:instrText>
      </w:r>
      <w:r>
        <w:rPr>
          <w:rFonts w:eastAsia="微软雅黑"/>
          <w:i/>
          <w:iCs/>
          <w:sz w:val="21"/>
          <w:szCs w:val="21"/>
          <w:vertAlign w:val="subscript"/>
        </w:rPr>
        <w:instrText>i</w:instrText>
      </w:r>
      <w:r>
        <w:rPr>
          <w:rFonts w:eastAsia="微软雅黑"/>
          <w:sz w:val="21"/>
          <w:szCs w:val="21"/>
        </w:rPr>
        <w:instrText>×10\s(</w:instrText>
      </w:r>
      <w:r>
        <w:rPr>
          <w:rFonts w:eastAsia="微软雅黑"/>
          <w:sz w:val="14"/>
          <w:szCs w:val="14"/>
        </w:rPr>
        <w:instrText>-0.1</w:instrText>
      </w:r>
      <w:r>
        <w:rPr>
          <w:rFonts w:eastAsia="微软雅黑"/>
          <w:i/>
          <w:iCs/>
          <w:sz w:val="14"/>
          <w:szCs w:val="14"/>
        </w:rPr>
        <w:instrText>R</w:instrText>
      </w:r>
      <w:r>
        <w:rPr>
          <w:rFonts w:eastAsia="微软雅黑"/>
          <w:i/>
          <w:iCs/>
          <w:sz w:val="14"/>
          <w:szCs w:val="14"/>
          <w:vertAlign w:val="subscript"/>
        </w:rPr>
        <w:instrText>i</w:instrText>
      </w:r>
      <w:r>
        <w:rPr>
          <w:rFonts w:eastAsia="微软雅黑"/>
          <w:sz w:val="21"/>
          <w:szCs w:val="21"/>
        </w:rPr>
        <w:instrText>,</w:instrText>
      </w:r>
      <w:r>
        <w:rPr>
          <w:rFonts w:eastAsia="微软雅黑"/>
          <w:sz w:val="14"/>
          <w:szCs w:val="14"/>
        </w:rPr>
        <w:instrText xml:space="preserve"> </w:instrText>
      </w:r>
      <w:r>
        <w:rPr>
          <w:rFonts w:eastAsia="微软雅黑"/>
          <w:sz w:val="21"/>
          <w:szCs w:val="21"/>
        </w:rPr>
        <w:instrText>)))</w:instrText>
      </w:r>
      <w:r>
        <w:rPr>
          <w:rFonts w:eastAsia="微软雅黑"/>
          <w:sz w:val="21"/>
          <w:szCs w:val="21"/>
        </w:rPr>
        <w:fldChar w:fldCharType="end"/>
      </w:r>
    </w:p>
    <w:p w14:paraId="326D4DD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式中，</w:t>
      </w:r>
      <w:r>
        <w:rPr>
          <w:rFonts w:eastAsia="微软雅黑"/>
          <w:sz w:val="21"/>
          <w:szCs w:val="21"/>
        </w:rPr>
        <w:fldChar w:fldCharType="begin"/>
      </w:r>
      <w:r>
        <w:rPr>
          <w:rFonts w:eastAsia="微软雅黑"/>
          <w:sz w:val="21"/>
          <w:szCs w:val="21"/>
        </w:rPr>
        <w:instrText>EQ \x\to(</w:instrText>
      </w:r>
      <w:r>
        <w:rPr>
          <w:rFonts w:eastAsia="微软雅黑"/>
          <w:i/>
          <w:iCs/>
          <w:sz w:val="21"/>
          <w:szCs w:val="21"/>
        </w:rPr>
        <w:instrText>R</w:instrText>
      </w:r>
      <w:r>
        <w:rPr>
          <w:rFonts w:eastAsia="微软雅黑"/>
          <w:sz w:val="21"/>
          <w:szCs w:val="21"/>
        </w:rPr>
        <w:instrText>)</w:instrText>
      </w:r>
      <w:r>
        <w:rPr>
          <w:rFonts w:eastAsia="微软雅黑"/>
          <w:sz w:val="21"/>
          <w:szCs w:val="21"/>
        </w:rPr>
        <w:fldChar w:fldCharType="end"/>
      </w:r>
      <w:r>
        <w:rPr>
          <w:rFonts w:ascii="微软雅黑" w:eastAsia="微软雅黑" w:cs="微软雅黑" w:hint="eastAsia"/>
          <w:sz w:val="21"/>
          <w:szCs w:val="21"/>
        </w:rPr>
        <w:t>——组合墙的平均隔声量，</w:t>
      </w:r>
      <w:r>
        <w:rPr>
          <w:rFonts w:eastAsia="微软雅黑"/>
          <w:sz w:val="21"/>
          <w:szCs w:val="21"/>
        </w:rPr>
        <w:t>dB</w:t>
      </w:r>
      <w:r>
        <w:rPr>
          <w:rFonts w:ascii="微软雅黑" w:eastAsia="微软雅黑" w:cs="微软雅黑" w:hint="eastAsia"/>
          <w:sz w:val="21"/>
          <w:szCs w:val="21"/>
        </w:rPr>
        <w:t>；</w:t>
      </w:r>
    </w:p>
    <w:p w14:paraId="264FE22F" w14:textId="77777777" w:rsidR="00000000" w:rsidRDefault="00000000">
      <w:pPr>
        <w:spacing w:line="400" w:lineRule="atLeast"/>
        <w:ind w:firstLine="420"/>
        <w:jc w:val="both"/>
        <w:rPr>
          <w:rFonts w:ascii="微软雅黑" w:eastAsia="微软雅黑" w:cs="微软雅黑"/>
          <w:sz w:val="21"/>
          <w:szCs w:val="21"/>
        </w:rPr>
      </w:pPr>
      <w:r>
        <w:rPr>
          <w:rFonts w:eastAsia="微软雅黑"/>
          <w:i/>
          <w:iCs/>
          <w:sz w:val="21"/>
          <w:szCs w:val="21"/>
        </w:rPr>
        <w:t>R</w:t>
      </w:r>
      <w:r>
        <w:rPr>
          <w:rFonts w:eastAsia="微软雅黑"/>
          <w:sz w:val="21"/>
          <w:szCs w:val="21"/>
          <w:vertAlign w:val="subscript"/>
        </w:rPr>
        <w:t>i</w:t>
      </w:r>
      <w:r>
        <w:rPr>
          <w:rFonts w:ascii="微软雅黑" w:eastAsia="微软雅黑" w:cs="微软雅黑" w:hint="eastAsia"/>
          <w:sz w:val="21"/>
          <w:szCs w:val="21"/>
        </w:rPr>
        <w:t>——组合墙上各构件的隔声量，</w:t>
      </w:r>
      <w:r>
        <w:rPr>
          <w:rFonts w:eastAsia="微软雅黑"/>
          <w:sz w:val="21"/>
          <w:szCs w:val="21"/>
        </w:rPr>
        <w:t>dB</w:t>
      </w:r>
      <w:r>
        <w:rPr>
          <w:rFonts w:ascii="微软雅黑" w:eastAsia="微软雅黑" w:cs="微软雅黑" w:hint="eastAsia"/>
          <w:sz w:val="21"/>
          <w:szCs w:val="21"/>
        </w:rPr>
        <w:t>；</w:t>
      </w:r>
    </w:p>
    <w:p w14:paraId="61A4FDF0"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四、建筑构件隔声性能分析</w:t>
      </w:r>
    </w:p>
    <w:p w14:paraId="11AECA5D"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lastRenderedPageBreak/>
        <w:t xml:space="preserve">4.1 </w:t>
      </w:r>
      <w:r>
        <w:rPr>
          <w:rFonts w:ascii="微软雅黑" w:eastAsia="微软雅黑" w:cs="微软雅黑" w:hint="eastAsia"/>
          <w:b/>
          <w:bCs/>
          <w:spacing w:val="20"/>
        </w:rPr>
        <w:t>空气声计权隔声量分析</w:t>
      </w:r>
    </w:p>
    <w:p w14:paraId="79961405"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4.1.1 </w:t>
      </w:r>
      <w:r>
        <w:rPr>
          <w:rFonts w:ascii="微软雅黑" w:eastAsia="微软雅黑" w:cs="微软雅黑" w:hint="eastAsia"/>
          <w:b/>
          <w:bCs/>
          <w:spacing w:val="20"/>
        </w:rPr>
        <w:t>外墙空气声计权隔声量</w:t>
      </w:r>
    </w:p>
    <w:p w14:paraId="0D8AF38A"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（1）默认填充墙</w:t>
      </w:r>
    </w:p>
    <w:p w14:paraId="26ADA20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默认填充墙为：水泥砂浆(10.0mm)+加气混凝土砌块B06(200.0mm)+水泥砂浆(10.0mm)。</w:t>
      </w:r>
    </w:p>
    <w:p w14:paraId="6E2D45B9"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6 </w:t>
      </w:r>
      <w:r>
        <w:rPr>
          <w:rFonts w:ascii="宋体" w:eastAsia="宋体" w:cs="宋体" w:hint="eastAsia"/>
          <w:sz w:val="20"/>
          <w:szCs w:val="20"/>
        </w:rPr>
        <w:t>默认填充墙</w:t>
      </w:r>
    </w:p>
    <w:tbl>
      <w:tblPr>
        <w:tblW w:w="0" w:type="auto"/>
        <w:jc w:val="center"/>
        <w:tblLayout w:type="fixed"/>
        <w:tblCellMar>
          <w:left w:w="100" w:type="dxa"/>
          <w:right w:w="100" w:type="dxa"/>
        </w:tblCellMar>
        <w:tblLook w:val="0000" w:firstRow="0" w:lastRow="0" w:firstColumn="0" w:lastColumn="0" w:noHBand="0" w:noVBand="0"/>
      </w:tblPr>
      <w:tblGrid>
        <w:gridCol w:w="3900"/>
        <w:gridCol w:w="2000"/>
        <w:gridCol w:w="2500"/>
      </w:tblGrid>
      <w:tr w:rsidR="00000000" w14:paraId="751B078C"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shd w:val="clear" w:color="auto" w:fill="AFAFAF"/>
            <w:vAlign w:val="center"/>
          </w:tcPr>
          <w:p w14:paraId="59D8B4FB"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材料构造</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69A3D4E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厚度(mm)</w:t>
            </w:r>
          </w:p>
        </w:tc>
        <w:tc>
          <w:tcPr>
            <w:tcW w:w="2500" w:type="dxa"/>
            <w:tcBorders>
              <w:top w:val="single" w:sz="4" w:space="0" w:color="auto"/>
              <w:left w:val="single" w:sz="4" w:space="0" w:color="auto"/>
              <w:bottom w:val="single" w:sz="4" w:space="0" w:color="auto"/>
              <w:right w:val="single" w:sz="4" w:space="0" w:color="auto"/>
            </w:tcBorders>
            <w:shd w:val="clear" w:color="auto" w:fill="AFAFAF"/>
            <w:vAlign w:val="center"/>
          </w:tcPr>
          <w:p w14:paraId="4D2A9175"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材料密度(kg/m³)</w:t>
            </w:r>
          </w:p>
        </w:tc>
      </w:tr>
      <w:tr w:rsidR="00000000" w14:paraId="20CD92F3"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28FD8218"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水泥砂浆</w:t>
            </w:r>
          </w:p>
        </w:tc>
        <w:tc>
          <w:tcPr>
            <w:tcW w:w="2000" w:type="dxa"/>
            <w:tcBorders>
              <w:top w:val="single" w:sz="4" w:space="0" w:color="auto"/>
              <w:left w:val="single" w:sz="4" w:space="0" w:color="auto"/>
              <w:bottom w:val="single" w:sz="4" w:space="0" w:color="auto"/>
              <w:right w:val="single" w:sz="4" w:space="0" w:color="auto"/>
            </w:tcBorders>
            <w:vAlign w:val="center"/>
          </w:tcPr>
          <w:p w14:paraId="20748C7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10.0</w:t>
            </w:r>
          </w:p>
        </w:tc>
        <w:tc>
          <w:tcPr>
            <w:tcW w:w="2500" w:type="dxa"/>
            <w:tcBorders>
              <w:top w:val="single" w:sz="4" w:space="0" w:color="auto"/>
              <w:left w:val="single" w:sz="4" w:space="0" w:color="auto"/>
              <w:bottom w:val="single" w:sz="4" w:space="0" w:color="auto"/>
              <w:right w:val="single" w:sz="4" w:space="0" w:color="auto"/>
            </w:tcBorders>
            <w:vAlign w:val="center"/>
          </w:tcPr>
          <w:p w14:paraId="323E72F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1800.00</w:t>
            </w:r>
          </w:p>
        </w:tc>
      </w:tr>
      <w:tr w:rsidR="00000000" w14:paraId="7705D01A"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098B3B9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加气混凝土砌块B06</w:t>
            </w:r>
          </w:p>
        </w:tc>
        <w:tc>
          <w:tcPr>
            <w:tcW w:w="2000" w:type="dxa"/>
            <w:tcBorders>
              <w:top w:val="single" w:sz="4" w:space="0" w:color="auto"/>
              <w:left w:val="single" w:sz="4" w:space="0" w:color="auto"/>
              <w:bottom w:val="single" w:sz="4" w:space="0" w:color="auto"/>
              <w:right w:val="single" w:sz="4" w:space="0" w:color="auto"/>
            </w:tcBorders>
            <w:vAlign w:val="center"/>
          </w:tcPr>
          <w:p w14:paraId="3D7AA68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200.0</w:t>
            </w:r>
          </w:p>
        </w:tc>
        <w:tc>
          <w:tcPr>
            <w:tcW w:w="2500" w:type="dxa"/>
            <w:tcBorders>
              <w:top w:val="single" w:sz="4" w:space="0" w:color="auto"/>
              <w:left w:val="single" w:sz="4" w:space="0" w:color="auto"/>
              <w:bottom w:val="single" w:sz="4" w:space="0" w:color="auto"/>
              <w:right w:val="single" w:sz="4" w:space="0" w:color="auto"/>
            </w:tcBorders>
            <w:vAlign w:val="center"/>
          </w:tcPr>
          <w:p w14:paraId="2552DD7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600.00</w:t>
            </w:r>
          </w:p>
        </w:tc>
      </w:tr>
      <w:tr w:rsidR="00000000" w14:paraId="1058FFDD"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350D5B0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水泥砂浆</w:t>
            </w:r>
          </w:p>
        </w:tc>
        <w:tc>
          <w:tcPr>
            <w:tcW w:w="2000" w:type="dxa"/>
            <w:tcBorders>
              <w:top w:val="single" w:sz="4" w:space="0" w:color="auto"/>
              <w:left w:val="single" w:sz="4" w:space="0" w:color="auto"/>
              <w:bottom w:val="single" w:sz="4" w:space="0" w:color="auto"/>
              <w:right w:val="single" w:sz="4" w:space="0" w:color="auto"/>
            </w:tcBorders>
            <w:vAlign w:val="center"/>
          </w:tcPr>
          <w:p w14:paraId="5C6AC0E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10.0</w:t>
            </w:r>
          </w:p>
        </w:tc>
        <w:tc>
          <w:tcPr>
            <w:tcW w:w="2500" w:type="dxa"/>
            <w:tcBorders>
              <w:top w:val="single" w:sz="4" w:space="0" w:color="auto"/>
              <w:left w:val="single" w:sz="4" w:space="0" w:color="auto"/>
              <w:bottom w:val="single" w:sz="4" w:space="0" w:color="auto"/>
              <w:right w:val="single" w:sz="4" w:space="0" w:color="auto"/>
            </w:tcBorders>
            <w:vAlign w:val="center"/>
          </w:tcPr>
          <w:p w14:paraId="0676A30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1800.00</w:t>
            </w:r>
          </w:p>
        </w:tc>
      </w:tr>
    </w:tbl>
    <w:p w14:paraId="415C7D3A"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根据用户自定义，按照3.5.3章节类比法考察该构造的空气声计权隔声量。采用和该墙体结构相近的墙体隔声量数据，作为默认填充墙的空气声计权隔声量。</w:t>
      </w:r>
    </w:p>
    <w:p w14:paraId="143CFFE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根据《建筑吸声材料与隔声材料》钟祥璋 编著，所选类比的材料构造为：370mm砖墙，其具体做法为370mm砖墙，其空气声计权隔声量Rw为58.00dB。</w:t>
      </w:r>
    </w:p>
    <w:p w14:paraId="0331EEA1"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根据3.6章节的计算方法，得到该构造的交通噪声频谱修正量Ctr值为-5.03 dB。</w:t>
      </w:r>
    </w:p>
    <w:p w14:paraId="2D9C4253"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因此，默认填充墙的空气声隔声单值评价量+交通噪声频谱修正量Rw+Ctr为52.97 dB。</w:t>
      </w:r>
    </w:p>
    <w:p w14:paraId="5EA92798"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（2）小结</w:t>
      </w:r>
    </w:p>
    <w:p w14:paraId="1A60E0F7"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7 </w:t>
      </w:r>
      <w:r>
        <w:rPr>
          <w:rFonts w:ascii="宋体" w:eastAsia="宋体" w:cs="宋体" w:hint="eastAsia"/>
          <w:sz w:val="20"/>
          <w:szCs w:val="20"/>
        </w:rPr>
        <w:t>外墙空气声隔声性能达标情况汇总表</w:t>
      </w:r>
    </w:p>
    <w:tbl>
      <w:tblPr>
        <w:tblW w:w="0" w:type="auto"/>
        <w:jc w:val="center"/>
        <w:tblLayout w:type="fixed"/>
        <w:tblCellMar>
          <w:left w:w="100" w:type="dxa"/>
          <w:right w:w="100" w:type="dxa"/>
        </w:tblCellMar>
        <w:tblLook w:val="0000" w:firstRow="0" w:lastRow="0" w:firstColumn="0" w:lastColumn="0" w:noHBand="0" w:noVBand="0"/>
      </w:tblPr>
      <w:tblGrid>
        <w:gridCol w:w="1500"/>
        <w:gridCol w:w="2600"/>
        <w:gridCol w:w="1200"/>
        <w:gridCol w:w="1200"/>
        <w:gridCol w:w="1800"/>
      </w:tblGrid>
      <w:tr w:rsidR="00000000" w14:paraId="0081508D"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11A3290B"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外墙构件</w:t>
            </w:r>
          </w:p>
        </w:tc>
        <w:tc>
          <w:tcPr>
            <w:tcW w:w="2600" w:type="dxa"/>
            <w:tcBorders>
              <w:top w:val="single" w:sz="4" w:space="0" w:color="auto"/>
              <w:left w:val="single" w:sz="4" w:space="0" w:color="auto"/>
              <w:bottom w:val="single" w:sz="4" w:space="0" w:color="auto"/>
              <w:right w:val="single" w:sz="4" w:space="0" w:color="auto"/>
            </w:tcBorders>
            <w:shd w:val="clear" w:color="auto" w:fill="AFAFAF"/>
            <w:vAlign w:val="center"/>
          </w:tcPr>
          <w:p w14:paraId="3B6A3F26"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空气声隔声单值评价量+交通噪声频谱修正量Rw+Ctr</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76055876"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低限要求</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461FA7E5"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高限要求</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14:paraId="4778CDF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达标情况</w:t>
            </w:r>
          </w:p>
        </w:tc>
      </w:tr>
      <w:tr w:rsidR="00000000" w14:paraId="1E317F98"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7BFBD4F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默认填充墙</w:t>
            </w:r>
          </w:p>
        </w:tc>
        <w:tc>
          <w:tcPr>
            <w:tcW w:w="2600" w:type="dxa"/>
            <w:tcBorders>
              <w:top w:val="single" w:sz="4" w:space="0" w:color="auto"/>
              <w:left w:val="single" w:sz="4" w:space="0" w:color="auto"/>
              <w:bottom w:val="single" w:sz="4" w:space="0" w:color="auto"/>
              <w:right w:val="single" w:sz="4" w:space="0" w:color="auto"/>
            </w:tcBorders>
            <w:vAlign w:val="center"/>
          </w:tcPr>
          <w:p w14:paraId="0725D3D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52.97</w:t>
            </w:r>
          </w:p>
        </w:tc>
        <w:tc>
          <w:tcPr>
            <w:tcW w:w="1200" w:type="dxa"/>
            <w:tcBorders>
              <w:top w:val="single" w:sz="4" w:space="0" w:color="auto"/>
              <w:left w:val="single" w:sz="4" w:space="0" w:color="auto"/>
              <w:bottom w:val="single" w:sz="4" w:space="0" w:color="auto"/>
              <w:right w:val="single" w:sz="4" w:space="0" w:color="auto"/>
            </w:tcBorders>
            <w:vAlign w:val="center"/>
          </w:tcPr>
          <w:p w14:paraId="513D72E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200" w:type="dxa"/>
            <w:tcBorders>
              <w:top w:val="single" w:sz="4" w:space="0" w:color="auto"/>
              <w:left w:val="single" w:sz="4" w:space="0" w:color="auto"/>
              <w:bottom w:val="single" w:sz="4" w:space="0" w:color="auto"/>
              <w:right w:val="single" w:sz="4" w:space="0" w:color="auto"/>
            </w:tcBorders>
            <w:vAlign w:val="center"/>
          </w:tcPr>
          <w:p w14:paraId="3D6E6C9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5049118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r>
    </w:tbl>
    <w:p w14:paraId="6BF8BC1D"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4.1.2 </w:t>
      </w:r>
      <w:r>
        <w:rPr>
          <w:rFonts w:ascii="微软雅黑" w:eastAsia="微软雅黑" w:cs="微软雅黑" w:hint="eastAsia"/>
          <w:b/>
          <w:bCs/>
          <w:spacing w:val="20"/>
        </w:rPr>
        <w:t>隔墙空气声计权隔声量</w:t>
      </w:r>
    </w:p>
    <w:p w14:paraId="405592D4"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（1）默认内墙填充墙</w:t>
      </w:r>
    </w:p>
    <w:p w14:paraId="2DEEB73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默认内墙填充墙为：石灰水泥砂浆(20.0mm)+加气混凝土砌块B06(200.0mm)+石灰水泥砂浆(20.0mm)。</w:t>
      </w:r>
    </w:p>
    <w:p w14:paraId="39F89267"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8 </w:t>
      </w:r>
      <w:r>
        <w:rPr>
          <w:rFonts w:ascii="宋体" w:eastAsia="宋体" w:cs="宋体" w:hint="eastAsia"/>
          <w:sz w:val="20"/>
          <w:szCs w:val="20"/>
        </w:rPr>
        <w:t>默认内墙填充墙</w:t>
      </w:r>
    </w:p>
    <w:tbl>
      <w:tblPr>
        <w:tblW w:w="0" w:type="auto"/>
        <w:jc w:val="center"/>
        <w:tblLayout w:type="fixed"/>
        <w:tblCellMar>
          <w:left w:w="100" w:type="dxa"/>
          <w:right w:w="100" w:type="dxa"/>
        </w:tblCellMar>
        <w:tblLook w:val="0000" w:firstRow="0" w:lastRow="0" w:firstColumn="0" w:lastColumn="0" w:noHBand="0" w:noVBand="0"/>
      </w:tblPr>
      <w:tblGrid>
        <w:gridCol w:w="3900"/>
        <w:gridCol w:w="2000"/>
        <w:gridCol w:w="2500"/>
      </w:tblGrid>
      <w:tr w:rsidR="00000000" w14:paraId="53DB49C9"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shd w:val="clear" w:color="auto" w:fill="AFAFAF"/>
            <w:vAlign w:val="center"/>
          </w:tcPr>
          <w:p w14:paraId="10153AD5"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材料构造</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197EC6D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厚度(mm)</w:t>
            </w:r>
          </w:p>
        </w:tc>
        <w:tc>
          <w:tcPr>
            <w:tcW w:w="2500" w:type="dxa"/>
            <w:tcBorders>
              <w:top w:val="single" w:sz="4" w:space="0" w:color="auto"/>
              <w:left w:val="single" w:sz="4" w:space="0" w:color="auto"/>
              <w:bottom w:val="single" w:sz="4" w:space="0" w:color="auto"/>
              <w:right w:val="single" w:sz="4" w:space="0" w:color="auto"/>
            </w:tcBorders>
            <w:shd w:val="clear" w:color="auto" w:fill="AFAFAF"/>
            <w:vAlign w:val="center"/>
          </w:tcPr>
          <w:p w14:paraId="2F9DCD57"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材料密度(kg/m³)</w:t>
            </w:r>
          </w:p>
        </w:tc>
      </w:tr>
      <w:tr w:rsidR="00000000" w14:paraId="5D6B2AE3"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1EAA934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石灰水泥砂浆</w:t>
            </w:r>
          </w:p>
        </w:tc>
        <w:tc>
          <w:tcPr>
            <w:tcW w:w="2000" w:type="dxa"/>
            <w:tcBorders>
              <w:top w:val="single" w:sz="4" w:space="0" w:color="auto"/>
              <w:left w:val="single" w:sz="4" w:space="0" w:color="auto"/>
              <w:bottom w:val="single" w:sz="4" w:space="0" w:color="auto"/>
              <w:right w:val="single" w:sz="4" w:space="0" w:color="auto"/>
            </w:tcBorders>
            <w:vAlign w:val="center"/>
          </w:tcPr>
          <w:p w14:paraId="10E14D9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20.0</w:t>
            </w:r>
          </w:p>
        </w:tc>
        <w:tc>
          <w:tcPr>
            <w:tcW w:w="2500" w:type="dxa"/>
            <w:tcBorders>
              <w:top w:val="single" w:sz="4" w:space="0" w:color="auto"/>
              <w:left w:val="single" w:sz="4" w:space="0" w:color="auto"/>
              <w:bottom w:val="single" w:sz="4" w:space="0" w:color="auto"/>
              <w:right w:val="single" w:sz="4" w:space="0" w:color="auto"/>
            </w:tcBorders>
            <w:vAlign w:val="center"/>
          </w:tcPr>
          <w:p w14:paraId="2E6B175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1700.00</w:t>
            </w:r>
          </w:p>
        </w:tc>
      </w:tr>
      <w:tr w:rsidR="00000000" w14:paraId="00469477"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73592ED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加气混凝土砌块B06</w:t>
            </w:r>
          </w:p>
        </w:tc>
        <w:tc>
          <w:tcPr>
            <w:tcW w:w="2000" w:type="dxa"/>
            <w:tcBorders>
              <w:top w:val="single" w:sz="4" w:space="0" w:color="auto"/>
              <w:left w:val="single" w:sz="4" w:space="0" w:color="auto"/>
              <w:bottom w:val="single" w:sz="4" w:space="0" w:color="auto"/>
              <w:right w:val="single" w:sz="4" w:space="0" w:color="auto"/>
            </w:tcBorders>
            <w:vAlign w:val="center"/>
          </w:tcPr>
          <w:p w14:paraId="3F66C8E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200.0</w:t>
            </w:r>
          </w:p>
        </w:tc>
        <w:tc>
          <w:tcPr>
            <w:tcW w:w="2500" w:type="dxa"/>
            <w:tcBorders>
              <w:top w:val="single" w:sz="4" w:space="0" w:color="auto"/>
              <w:left w:val="single" w:sz="4" w:space="0" w:color="auto"/>
              <w:bottom w:val="single" w:sz="4" w:space="0" w:color="auto"/>
              <w:right w:val="single" w:sz="4" w:space="0" w:color="auto"/>
            </w:tcBorders>
            <w:vAlign w:val="center"/>
          </w:tcPr>
          <w:p w14:paraId="6536BEE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600.00</w:t>
            </w:r>
          </w:p>
        </w:tc>
      </w:tr>
      <w:tr w:rsidR="00000000" w14:paraId="5A40D80E"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2EBA45F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石灰水泥砂浆</w:t>
            </w:r>
          </w:p>
        </w:tc>
        <w:tc>
          <w:tcPr>
            <w:tcW w:w="2000" w:type="dxa"/>
            <w:tcBorders>
              <w:top w:val="single" w:sz="4" w:space="0" w:color="auto"/>
              <w:left w:val="single" w:sz="4" w:space="0" w:color="auto"/>
              <w:bottom w:val="single" w:sz="4" w:space="0" w:color="auto"/>
              <w:right w:val="single" w:sz="4" w:space="0" w:color="auto"/>
            </w:tcBorders>
            <w:vAlign w:val="center"/>
          </w:tcPr>
          <w:p w14:paraId="3B1AD91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20.0</w:t>
            </w:r>
          </w:p>
        </w:tc>
        <w:tc>
          <w:tcPr>
            <w:tcW w:w="2500" w:type="dxa"/>
            <w:tcBorders>
              <w:top w:val="single" w:sz="4" w:space="0" w:color="auto"/>
              <w:left w:val="single" w:sz="4" w:space="0" w:color="auto"/>
              <w:bottom w:val="single" w:sz="4" w:space="0" w:color="auto"/>
              <w:right w:val="single" w:sz="4" w:space="0" w:color="auto"/>
            </w:tcBorders>
            <w:vAlign w:val="center"/>
          </w:tcPr>
          <w:p w14:paraId="10063C38"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1700.00</w:t>
            </w:r>
          </w:p>
        </w:tc>
      </w:tr>
    </w:tbl>
    <w:p w14:paraId="04AD754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根据用户自定义，按照3.5.3章节类比法考察该构造的空气声计权隔声量。采用和该墙体结构相近的墙体隔声量数据，作为默认内墙填充墙的空气声计权隔声量。</w:t>
      </w:r>
    </w:p>
    <w:p w14:paraId="0D7885ED"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根据《建筑吸声材料与隔声材料》钟祥璋 编著，所选类比的材料构造为：IAC双层轨道活动隔墙，其具体做法为美国IAC双层轨道活动隔墙，内填空气层，其空气声计权隔声量Rw为69.00dB。</w:t>
      </w:r>
    </w:p>
    <w:p w14:paraId="63B68ED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根据《建筑吸声材料与隔声材料》钟祥璋 编著，得到该构造的粉红噪声频谱修正量C</w:t>
      </w:r>
      <w:r>
        <w:rPr>
          <w:rFonts w:ascii="微软雅黑" w:eastAsia="微软雅黑" w:cs="微软雅黑" w:hint="eastAsia"/>
          <w:sz w:val="21"/>
          <w:szCs w:val="21"/>
        </w:rPr>
        <w:lastRenderedPageBreak/>
        <w:t>值为-2.00 dB。</w:t>
      </w:r>
    </w:p>
    <w:p w14:paraId="6D93B635"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因此，默认内墙填充墙的空气声隔声单值评价量+粉红噪声频谱修正量Rw+C为67.00 dB。</w:t>
      </w:r>
    </w:p>
    <w:p w14:paraId="56C20E1B"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（2）小结</w:t>
      </w:r>
    </w:p>
    <w:p w14:paraId="6DA40F93"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9 </w:t>
      </w:r>
      <w:r>
        <w:rPr>
          <w:rFonts w:ascii="宋体" w:eastAsia="宋体" w:cs="宋体" w:hint="eastAsia"/>
          <w:sz w:val="20"/>
          <w:szCs w:val="20"/>
        </w:rPr>
        <w:t>隔墙空气声隔声性能达标情况汇总表</w:t>
      </w:r>
    </w:p>
    <w:tbl>
      <w:tblPr>
        <w:tblW w:w="0" w:type="auto"/>
        <w:jc w:val="center"/>
        <w:tblLayout w:type="fixed"/>
        <w:tblCellMar>
          <w:left w:w="100" w:type="dxa"/>
          <w:right w:w="100" w:type="dxa"/>
        </w:tblCellMar>
        <w:tblLook w:val="0000" w:firstRow="0" w:lastRow="0" w:firstColumn="0" w:lastColumn="0" w:noHBand="0" w:noVBand="0"/>
      </w:tblPr>
      <w:tblGrid>
        <w:gridCol w:w="1500"/>
        <w:gridCol w:w="2600"/>
        <w:gridCol w:w="1200"/>
        <w:gridCol w:w="1200"/>
        <w:gridCol w:w="1800"/>
      </w:tblGrid>
      <w:tr w:rsidR="00000000" w14:paraId="061B248C"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49F67E93"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隔墙构件</w:t>
            </w:r>
          </w:p>
        </w:tc>
        <w:tc>
          <w:tcPr>
            <w:tcW w:w="2600" w:type="dxa"/>
            <w:tcBorders>
              <w:top w:val="single" w:sz="4" w:space="0" w:color="auto"/>
              <w:left w:val="single" w:sz="4" w:space="0" w:color="auto"/>
              <w:bottom w:val="single" w:sz="4" w:space="0" w:color="auto"/>
              <w:right w:val="single" w:sz="4" w:space="0" w:color="auto"/>
            </w:tcBorders>
            <w:shd w:val="clear" w:color="auto" w:fill="AFAFAF"/>
            <w:vAlign w:val="center"/>
          </w:tcPr>
          <w:p w14:paraId="1062B721"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空气声隔声单值评价量+粉红噪声频谱修正量Rw+C</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36182BC7"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低限要求</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5854535F"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高限要求</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14:paraId="360F5ACC"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达标情况</w:t>
            </w:r>
          </w:p>
        </w:tc>
      </w:tr>
      <w:tr w:rsidR="00000000" w14:paraId="4F2F7291"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5A55B99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默认内墙填充墙</w:t>
            </w:r>
          </w:p>
        </w:tc>
        <w:tc>
          <w:tcPr>
            <w:tcW w:w="2600" w:type="dxa"/>
            <w:tcBorders>
              <w:top w:val="single" w:sz="4" w:space="0" w:color="auto"/>
              <w:left w:val="single" w:sz="4" w:space="0" w:color="auto"/>
              <w:bottom w:val="single" w:sz="4" w:space="0" w:color="auto"/>
              <w:right w:val="single" w:sz="4" w:space="0" w:color="auto"/>
            </w:tcBorders>
            <w:vAlign w:val="center"/>
          </w:tcPr>
          <w:p w14:paraId="25BCDE0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67.00</w:t>
            </w:r>
          </w:p>
        </w:tc>
        <w:tc>
          <w:tcPr>
            <w:tcW w:w="1200" w:type="dxa"/>
            <w:tcBorders>
              <w:top w:val="single" w:sz="4" w:space="0" w:color="auto"/>
              <w:left w:val="single" w:sz="4" w:space="0" w:color="auto"/>
              <w:bottom w:val="single" w:sz="4" w:space="0" w:color="auto"/>
              <w:right w:val="single" w:sz="4" w:space="0" w:color="auto"/>
            </w:tcBorders>
            <w:vAlign w:val="center"/>
          </w:tcPr>
          <w:p w14:paraId="599F3B3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&gt;55</w:t>
            </w:r>
          </w:p>
        </w:tc>
        <w:tc>
          <w:tcPr>
            <w:tcW w:w="1200" w:type="dxa"/>
            <w:tcBorders>
              <w:top w:val="single" w:sz="4" w:space="0" w:color="auto"/>
              <w:left w:val="single" w:sz="4" w:space="0" w:color="auto"/>
              <w:bottom w:val="single" w:sz="4" w:space="0" w:color="auto"/>
              <w:right w:val="single" w:sz="4" w:space="0" w:color="auto"/>
            </w:tcBorders>
            <w:vAlign w:val="center"/>
          </w:tcPr>
          <w:p w14:paraId="4CAE8F8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&gt;60</w:t>
            </w:r>
          </w:p>
        </w:tc>
        <w:tc>
          <w:tcPr>
            <w:tcW w:w="1800" w:type="dxa"/>
            <w:tcBorders>
              <w:top w:val="single" w:sz="4" w:space="0" w:color="auto"/>
              <w:left w:val="single" w:sz="4" w:space="0" w:color="auto"/>
              <w:bottom w:val="single" w:sz="4" w:space="0" w:color="auto"/>
              <w:right w:val="single" w:sz="4" w:space="0" w:color="auto"/>
            </w:tcBorders>
            <w:vAlign w:val="center"/>
          </w:tcPr>
          <w:p w14:paraId="5FC622B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r>
    </w:tbl>
    <w:p w14:paraId="6A4B1092"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4.1.3 </w:t>
      </w:r>
      <w:r>
        <w:rPr>
          <w:rFonts w:ascii="微软雅黑" w:eastAsia="微软雅黑" w:cs="微软雅黑" w:hint="eastAsia"/>
          <w:b/>
          <w:bCs/>
          <w:spacing w:val="20"/>
        </w:rPr>
        <w:t>窗空气声计权隔声量</w:t>
      </w:r>
    </w:p>
    <w:p w14:paraId="5CC7A075"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（1）默认外窗</w:t>
      </w:r>
    </w:p>
    <w:p w14:paraId="7163862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默认外窗为：不隔热金属型材，6中透光Low-E+12空气+6透明。</w:t>
      </w:r>
    </w:p>
    <w:p w14:paraId="121ED50C"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本报告按照3.5.3章节类比法考察该构造的空气声计权隔声量。采用和该窗结构相近的窗隔声量数据，作为默认外窗的空气声计权隔声量。</w:t>
      </w:r>
    </w:p>
    <w:p w14:paraId="43DFF47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根据图集《建筑隔声与吸声构造》08J931，所选类比的材料构造为：三层固定木隔声窗，其具体做法为6+80A+8+100A+6单层玻璃，其空气声计权隔声量Rw为55.00dB。</w:t>
      </w:r>
    </w:p>
    <w:p w14:paraId="01B2618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根据3.6章节的计算方法，得到该构造的交通噪声频谱修正量Ctr值为-2.00 dB。</w:t>
      </w:r>
    </w:p>
    <w:p w14:paraId="33547241"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因此，默认外窗的空气声隔声单值评价量+交通噪声频谱修正量Rw+Ctr为53.00 dB。</w:t>
      </w:r>
    </w:p>
    <w:p w14:paraId="49AFE4E8" w14:textId="22F81F75" w:rsidR="00000000" w:rsidRDefault="00C92DA5">
      <w:pPr>
        <w:spacing w:before="20" w:after="20"/>
        <w:jc w:val="center"/>
      </w:pPr>
      <w:r>
        <w:rPr>
          <w:noProof/>
        </w:rPr>
        <w:drawing>
          <wp:inline distT="0" distB="0" distL="0" distR="0" wp14:anchorId="330DF29D" wp14:editId="08398D8D">
            <wp:extent cx="2339340" cy="1471295"/>
            <wp:effectExtent l="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9340" cy="1471295"/>
                    </a:xfrm>
                    <a:prstGeom prst="rect">
                      <a:avLst/>
                    </a:prstGeom>
                    <a:noFill/>
                    <a:ln>
                      <a:noFill/>
                    </a:ln>
                  </pic:spPr>
                </pic:pic>
              </a:graphicData>
            </a:graphic>
          </wp:inline>
        </w:drawing>
      </w:r>
    </w:p>
    <w:p w14:paraId="7BED7916"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6 </w:t>
      </w:r>
      <w:r>
        <w:rPr>
          <w:rFonts w:ascii="宋体" w:eastAsia="宋体" w:cs="宋体" w:hint="eastAsia"/>
          <w:sz w:val="20"/>
          <w:szCs w:val="20"/>
        </w:rPr>
        <w:t>默认外窗参照材料图集示意图</w:t>
      </w:r>
    </w:p>
    <w:p w14:paraId="604B34E8"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（2）小结</w:t>
      </w:r>
    </w:p>
    <w:p w14:paraId="4039821F"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10 </w:t>
      </w:r>
      <w:r>
        <w:rPr>
          <w:rFonts w:ascii="宋体" w:eastAsia="宋体" w:cs="宋体" w:hint="eastAsia"/>
          <w:sz w:val="20"/>
          <w:szCs w:val="20"/>
        </w:rPr>
        <w:t>窗空气声隔声性能达标情况汇总表</w:t>
      </w:r>
    </w:p>
    <w:tbl>
      <w:tblPr>
        <w:tblW w:w="0" w:type="auto"/>
        <w:jc w:val="center"/>
        <w:tblLayout w:type="fixed"/>
        <w:tblCellMar>
          <w:left w:w="100" w:type="dxa"/>
          <w:right w:w="100" w:type="dxa"/>
        </w:tblCellMar>
        <w:tblLook w:val="0000" w:firstRow="0" w:lastRow="0" w:firstColumn="0" w:lastColumn="0" w:noHBand="0" w:noVBand="0"/>
      </w:tblPr>
      <w:tblGrid>
        <w:gridCol w:w="1500"/>
        <w:gridCol w:w="2600"/>
        <w:gridCol w:w="1200"/>
        <w:gridCol w:w="1200"/>
        <w:gridCol w:w="1800"/>
      </w:tblGrid>
      <w:tr w:rsidR="00000000" w14:paraId="7C913D8C"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7941B0EE"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窗构件</w:t>
            </w:r>
          </w:p>
        </w:tc>
        <w:tc>
          <w:tcPr>
            <w:tcW w:w="2600" w:type="dxa"/>
            <w:tcBorders>
              <w:top w:val="single" w:sz="4" w:space="0" w:color="auto"/>
              <w:left w:val="single" w:sz="4" w:space="0" w:color="auto"/>
              <w:bottom w:val="single" w:sz="4" w:space="0" w:color="auto"/>
              <w:right w:val="single" w:sz="4" w:space="0" w:color="auto"/>
            </w:tcBorders>
            <w:shd w:val="clear" w:color="auto" w:fill="AFAFAF"/>
            <w:vAlign w:val="center"/>
          </w:tcPr>
          <w:p w14:paraId="682D9A36"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空气声隔声单值评价量+交通噪声频谱修正量Rw+Ctr</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3881FE48"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低限要求</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6E04E2E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高限要求</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14:paraId="4C809998"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达标情况</w:t>
            </w:r>
          </w:p>
        </w:tc>
      </w:tr>
      <w:tr w:rsidR="00000000" w14:paraId="00618E1A"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6AF3223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默认外窗</w:t>
            </w:r>
          </w:p>
        </w:tc>
        <w:tc>
          <w:tcPr>
            <w:tcW w:w="2600" w:type="dxa"/>
            <w:tcBorders>
              <w:top w:val="single" w:sz="4" w:space="0" w:color="auto"/>
              <w:left w:val="single" w:sz="4" w:space="0" w:color="auto"/>
              <w:bottom w:val="single" w:sz="4" w:space="0" w:color="auto"/>
              <w:right w:val="single" w:sz="4" w:space="0" w:color="auto"/>
            </w:tcBorders>
            <w:vAlign w:val="center"/>
          </w:tcPr>
          <w:p w14:paraId="0C736ED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53.00</w:t>
            </w:r>
          </w:p>
        </w:tc>
        <w:tc>
          <w:tcPr>
            <w:tcW w:w="1200" w:type="dxa"/>
            <w:tcBorders>
              <w:top w:val="single" w:sz="4" w:space="0" w:color="auto"/>
              <w:left w:val="single" w:sz="4" w:space="0" w:color="auto"/>
              <w:bottom w:val="single" w:sz="4" w:space="0" w:color="auto"/>
              <w:right w:val="single" w:sz="4" w:space="0" w:color="auto"/>
            </w:tcBorders>
            <w:vAlign w:val="center"/>
          </w:tcPr>
          <w:p w14:paraId="437115F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200" w:type="dxa"/>
            <w:tcBorders>
              <w:top w:val="single" w:sz="4" w:space="0" w:color="auto"/>
              <w:left w:val="single" w:sz="4" w:space="0" w:color="auto"/>
              <w:bottom w:val="single" w:sz="4" w:space="0" w:color="auto"/>
              <w:right w:val="single" w:sz="4" w:space="0" w:color="auto"/>
            </w:tcBorders>
            <w:vAlign w:val="center"/>
          </w:tcPr>
          <w:p w14:paraId="64654E7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1D8131D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r>
    </w:tbl>
    <w:p w14:paraId="39952721"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4.1.4 </w:t>
      </w:r>
      <w:r>
        <w:rPr>
          <w:rFonts w:ascii="微软雅黑" w:eastAsia="微软雅黑" w:cs="微软雅黑" w:hint="eastAsia"/>
          <w:b/>
          <w:bCs/>
          <w:spacing w:val="20"/>
        </w:rPr>
        <w:t>透明幕墙空气声计权隔声量</w:t>
      </w:r>
    </w:p>
    <w:p w14:paraId="2A0AF2DC"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（1）默认透光幕墙</w:t>
      </w:r>
    </w:p>
    <w:p w14:paraId="0113A9EF"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默认透光幕墙为：不隔热金属型材，6中透光Low-E+12空气+6透明。</w:t>
      </w:r>
    </w:p>
    <w:p w14:paraId="6A6AD84A"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本报告按照3.5.3章节类比法考察该构造的空气声计权隔声量。采用和该透明幕墙结构相近的透明幕墙隔声量数据，作为默认透光幕墙的空气声计权隔声量。</w:t>
      </w:r>
    </w:p>
    <w:p w14:paraId="1FF87E01"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根据图集《建筑隔声与吸声构造》08J931，所选类比的材料构造为：杜邦10+0.76+12</w:t>
      </w:r>
      <w:r>
        <w:rPr>
          <w:rFonts w:ascii="微软雅黑" w:eastAsia="微软雅黑" w:cs="微软雅黑" w:hint="eastAsia"/>
          <w:sz w:val="21"/>
          <w:szCs w:val="21"/>
        </w:rPr>
        <w:lastRenderedPageBreak/>
        <w:t>夹层玻璃，其具体做法为杜邦10+0.76+12夹层玻璃，其空气声计权隔声量Rw为37.00dB。</w:t>
      </w:r>
    </w:p>
    <w:p w14:paraId="1B06B99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根据3.6章节的计算方法，得到该构造的交通噪声频谱修正量Ctr值为-4.43 dB。</w:t>
      </w:r>
    </w:p>
    <w:p w14:paraId="6C0BA04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因此，默认透光幕墙的空气声隔声单值评价量+交通噪声频谱修正量Rw+Ctr为32.57 dB。</w:t>
      </w:r>
    </w:p>
    <w:p w14:paraId="15111213"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（2）小结</w:t>
      </w:r>
    </w:p>
    <w:p w14:paraId="4AEF18A0"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11 </w:t>
      </w:r>
      <w:r>
        <w:rPr>
          <w:rFonts w:ascii="宋体" w:eastAsia="宋体" w:cs="宋体" w:hint="eastAsia"/>
          <w:sz w:val="20"/>
          <w:szCs w:val="20"/>
        </w:rPr>
        <w:t>透明幕墙空气声隔声性能达标情况汇总表</w:t>
      </w:r>
    </w:p>
    <w:tbl>
      <w:tblPr>
        <w:tblW w:w="0" w:type="auto"/>
        <w:jc w:val="center"/>
        <w:tblLayout w:type="fixed"/>
        <w:tblCellMar>
          <w:left w:w="100" w:type="dxa"/>
          <w:right w:w="100" w:type="dxa"/>
        </w:tblCellMar>
        <w:tblLook w:val="0000" w:firstRow="0" w:lastRow="0" w:firstColumn="0" w:lastColumn="0" w:noHBand="0" w:noVBand="0"/>
      </w:tblPr>
      <w:tblGrid>
        <w:gridCol w:w="1500"/>
        <w:gridCol w:w="2600"/>
        <w:gridCol w:w="1200"/>
        <w:gridCol w:w="1200"/>
        <w:gridCol w:w="1800"/>
      </w:tblGrid>
      <w:tr w:rsidR="00000000" w14:paraId="18316C3A"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51909508"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透明幕墙构件</w:t>
            </w:r>
          </w:p>
        </w:tc>
        <w:tc>
          <w:tcPr>
            <w:tcW w:w="2600" w:type="dxa"/>
            <w:tcBorders>
              <w:top w:val="single" w:sz="4" w:space="0" w:color="auto"/>
              <w:left w:val="single" w:sz="4" w:space="0" w:color="auto"/>
              <w:bottom w:val="single" w:sz="4" w:space="0" w:color="auto"/>
              <w:right w:val="single" w:sz="4" w:space="0" w:color="auto"/>
            </w:tcBorders>
            <w:shd w:val="clear" w:color="auto" w:fill="AFAFAF"/>
            <w:vAlign w:val="center"/>
          </w:tcPr>
          <w:p w14:paraId="32B224C1"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空气声隔声单值评价量+交通噪声频谱修正量Rw+Ctr</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7738D993"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低限要求</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5AFFD7F5"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高限要求</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14:paraId="240CC013"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达标情况</w:t>
            </w:r>
          </w:p>
        </w:tc>
      </w:tr>
      <w:tr w:rsidR="00000000" w14:paraId="668A4F5C"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3B119FF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默认透光幕墙</w:t>
            </w:r>
          </w:p>
        </w:tc>
        <w:tc>
          <w:tcPr>
            <w:tcW w:w="2600" w:type="dxa"/>
            <w:tcBorders>
              <w:top w:val="single" w:sz="4" w:space="0" w:color="auto"/>
              <w:left w:val="single" w:sz="4" w:space="0" w:color="auto"/>
              <w:bottom w:val="single" w:sz="4" w:space="0" w:color="auto"/>
              <w:right w:val="single" w:sz="4" w:space="0" w:color="auto"/>
            </w:tcBorders>
            <w:vAlign w:val="center"/>
          </w:tcPr>
          <w:p w14:paraId="2E31ED9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32.57</w:t>
            </w:r>
          </w:p>
        </w:tc>
        <w:tc>
          <w:tcPr>
            <w:tcW w:w="1200" w:type="dxa"/>
            <w:tcBorders>
              <w:top w:val="single" w:sz="4" w:space="0" w:color="auto"/>
              <w:left w:val="single" w:sz="4" w:space="0" w:color="auto"/>
              <w:bottom w:val="single" w:sz="4" w:space="0" w:color="auto"/>
              <w:right w:val="single" w:sz="4" w:space="0" w:color="auto"/>
            </w:tcBorders>
            <w:vAlign w:val="center"/>
          </w:tcPr>
          <w:p w14:paraId="4C73A7A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200" w:type="dxa"/>
            <w:tcBorders>
              <w:top w:val="single" w:sz="4" w:space="0" w:color="auto"/>
              <w:left w:val="single" w:sz="4" w:space="0" w:color="auto"/>
              <w:bottom w:val="single" w:sz="4" w:space="0" w:color="auto"/>
              <w:right w:val="single" w:sz="4" w:space="0" w:color="auto"/>
            </w:tcBorders>
            <w:vAlign w:val="center"/>
          </w:tcPr>
          <w:p w14:paraId="0BF43CB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33C9FA0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r>
    </w:tbl>
    <w:p w14:paraId="631374AE"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4.1.5 </w:t>
      </w:r>
      <w:r>
        <w:rPr>
          <w:rFonts w:ascii="微软雅黑" w:eastAsia="微软雅黑" w:cs="微软雅黑" w:hint="eastAsia"/>
          <w:b/>
          <w:bCs/>
          <w:spacing w:val="20"/>
        </w:rPr>
        <w:t>门空气声计权隔声量</w:t>
      </w:r>
    </w:p>
    <w:p w14:paraId="7C702581"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《建筑声学设计》表3-11中给出了一般门窗的隔声量。表中单层门的隔声量一般在25~30dB，双层门的隔声量一般在30～40dB，本项目的分户门采用多功能户门，隔声效果较好。</w:t>
      </w:r>
    </w:p>
    <w:p w14:paraId="755BAE1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在高噪声隔声中需要使用隔声门，提高门的隔声性能一方面需要提高门扇的隔声量，另一方面需要处理好门缝。提高门扇自身隔声量的方法有：</w:t>
      </w:r>
    </w:p>
    <w:p w14:paraId="5932754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ⅰ）增加门扇重量和厚度。但重量不能太大，否则难于开启，门框支撑也成问题；太厚也不行，影响开启，而且也受到锁具的限制。常规建筑隔声门重量在50kg/㎡以内，厚度不大于8cm。</w:t>
      </w:r>
    </w:p>
    <w:p w14:paraId="7FCB2027"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ⅱ）使用不同密度的材料叠合而成，如多层钢板、密度板复合，各层的厚度也不同，防止共振和吻合效应。</w:t>
      </w:r>
    </w:p>
    <w:p w14:paraId="2E9D6ACF"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ⅲ）在门扇内形成空腹，内填吸声材料。隔声门门扇的隔声量可做到30～40dB。</w:t>
      </w:r>
    </w:p>
    <w:p w14:paraId="68175DBD"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门缝处理的方法有：</w:t>
      </w:r>
    </w:p>
    <w:p w14:paraId="637413F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ⅰ）将门框做成多道企口，并使用密封胶条或密封海绵密封。采用密封条时要保证门缝各处受压均匀，密封条处处受压。有时采用两道密封条，但必须保证门扇和门框的加工精度，配合良好。</w:t>
      </w:r>
    </w:p>
    <w:p w14:paraId="772FEC8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ⅱ）采用机械压紧装置，如压条等。门的周边安装压紧装置，锁门转动扳手时，通过机械联动将压紧装置压在门框上，可获得良好的密封性。对于下部没有门槛的隔声门，必须在门扇底安装这种机械密封装置，关门时，压条自动压在地面上密封。通过良好门缝处理的单隔声门隔声量可达到30～40dB。</w:t>
      </w:r>
    </w:p>
    <w:p w14:paraId="049227E1"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（1）默认外门</w:t>
      </w:r>
    </w:p>
    <w:p w14:paraId="761089A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默认外门为：塑料框单层实体门。</w:t>
      </w:r>
    </w:p>
    <w:p w14:paraId="737CA36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本报告按照3.5.3章节类比法考察该构造的空气声计权隔声量。采用和该门结构相近的门隔声量数据，作为默认外门的空气声计权隔声量。</w:t>
      </w:r>
    </w:p>
    <w:p w14:paraId="0F949B9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根据《建筑吸声材料与隔声材料》钟祥璋 编著，所选类比的材料构造为：隔声门（双层钢门内填玻璃棉），其具体做法为1mm钢门+80mm空腔填玻璃棉+1mm钢门，其空气</w:t>
      </w:r>
      <w:r>
        <w:rPr>
          <w:rFonts w:ascii="微软雅黑" w:eastAsia="微软雅黑" w:cs="微软雅黑" w:hint="eastAsia"/>
          <w:sz w:val="21"/>
          <w:szCs w:val="21"/>
        </w:rPr>
        <w:lastRenderedPageBreak/>
        <w:t>声计权隔声量Rw为50.00dB。</w:t>
      </w:r>
    </w:p>
    <w:p w14:paraId="5321406D"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根据3.6章节的计算方法，得到该构造的粉红噪声频谱修正量C值为-2.54 dB。</w:t>
      </w:r>
    </w:p>
    <w:p w14:paraId="3DB17043"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因此，默认外门的空气声隔声单值评价量+粉红噪声频谱修正量Rw+C为47.46 dB。</w:t>
      </w:r>
    </w:p>
    <w:p w14:paraId="5B2C8BEF"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（2）默认内门</w:t>
      </w:r>
    </w:p>
    <w:p w14:paraId="5701489C"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默认内门为：塑料框单层实体门。</w:t>
      </w:r>
    </w:p>
    <w:p w14:paraId="674B5B04"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本报告按照3.5.3章节类比法考察该构造的空气声计权隔声量。采用和该门结构相近的门隔声量数据，作为默认内门的空气声计权隔声量。</w:t>
      </w:r>
    </w:p>
    <w:p w14:paraId="50EF9A3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根据《建筑吸声材料与隔声材料》钟祥璋 编著，所选类比的材料构造为：隔声门（双层钢门内填玻璃棉），其具体做法为1mm钢门+80mm空腔填玻璃棉+1mm钢门，其空气声计权隔声量Rw为50.00dB。</w:t>
      </w:r>
    </w:p>
    <w:p w14:paraId="12FB3FAB"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根据3.6章节的计算方法，得到该构造的粉红噪声频谱修正量C值为-2.54 dB。</w:t>
      </w:r>
    </w:p>
    <w:p w14:paraId="4BC62BE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因此，默认内门的空气声隔声单值评价量+粉红噪声频谱修正量Rw+C为47.46 dB。</w:t>
      </w:r>
    </w:p>
    <w:p w14:paraId="0C8E4FC0"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（3）小结</w:t>
      </w:r>
    </w:p>
    <w:p w14:paraId="4A9639A3"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12 </w:t>
      </w:r>
      <w:r>
        <w:rPr>
          <w:rFonts w:ascii="宋体" w:eastAsia="宋体" w:cs="宋体" w:hint="eastAsia"/>
          <w:sz w:val="20"/>
          <w:szCs w:val="20"/>
        </w:rPr>
        <w:t>门空气声隔声性能达标情况汇总表</w:t>
      </w:r>
    </w:p>
    <w:tbl>
      <w:tblPr>
        <w:tblW w:w="0" w:type="auto"/>
        <w:jc w:val="center"/>
        <w:tblLayout w:type="fixed"/>
        <w:tblCellMar>
          <w:left w:w="100" w:type="dxa"/>
          <w:right w:w="100" w:type="dxa"/>
        </w:tblCellMar>
        <w:tblLook w:val="0000" w:firstRow="0" w:lastRow="0" w:firstColumn="0" w:lastColumn="0" w:noHBand="0" w:noVBand="0"/>
      </w:tblPr>
      <w:tblGrid>
        <w:gridCol w:w="1500"/>
        <w:gridCol w:w="2600"/>
        <w:gridCol w:w="1200"/>
        <w:gridCol w:w="1200"/>
        <w:gridCol w:w="1800"/>
      </w:tblGrid>
      <w:tr w:rsidR="00000000" w14:paraId="5BEC1ADE"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002E0799"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门构件</w:t>
            </w:r>
          </w:p>
        </w:tc>
        <w:tc>
          <w:tcPr>
            <w:tcW w:w="2600" w:type="dxa"/>
            <w:tcBorders>
              <w:top w:val="single" w:sz="4" w:space="0" w:color="auto"/>
              <w:left w:val="single" w:sz="4" w:space="0" w:color="auto"/>
              <w:bottom w:val="single" w:sz="4" w:space="0" w:color="auto"/>
              <w:right w:val="single" w:sz="4" w:space="0" w:color="auto"/>
            </w:tcBorders>
            <w:shd w:val="clear" w:color="auto" w:fill="AFAFAF"/>
            <w:vAlign w:val="center"/>
          </w:tcPr>
          <w:p w14:paraId="00E622D9"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空气声隔声单值评价量+粉红噪声频谱修正量Rw+C</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17D37D08"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低限要求</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2770657A"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高限要求</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14:paraId="1DF1AFA5"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达标情况</w:t>
            </w:r>
          </w:p>
        </w:tc>
      </w:tr>
      <w:tr w:rsidR="00000000" w14:paraId="1969F939"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0BCF8CE5"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默认外门</w:t>
            </w:r>
          </w:p>
        </w:tc>
        <w:tc>
          <w:tcPr>
            <w:tcW w:w="2600" w:type="dxa"/>
            <w:tcBorders>
              <w:top w:val="single" w:sz="4" w:space="0" w:color="auto"/>
              <w:left w:val="single" w:sz="4" w:space="0" w:color="auto"/>
              <w:bottom w:val="single" w:sz="4" w:space="0" w:color="auto"/>
              <w:right w:val="single" w:sz="4" w:space="0" w:color="auto"/>
            </w:tcBorders>
            <w:vAlign w:val="center"/>
          </w:tcPr>
          <w:p w14:paraId="345CE34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47.46</w:t>
            </w:r>
          </w:p>
        </w:tc>
        <w:tc>
          <w:tcPr>
            <w:tcW w:w="1200" w:type="dxa"/>
            <w:tcBorders>
              <w:top w:val="single" w:sz="4" w:space="0" w:color="auto"/>
              <w:left w:val="single" w:sz="4" w:space="0" w:color="auto"/>
              <w:bottom w:val="single" w:sz="4" w:space="0" w:color="auto"/>
              <w:right w:val="single" w:sz="4" w:space="0" w:color="auto"/>
            </w:tcBorders>
            <w:vAlign w:val="center"/>
          </w:tcPr>
          <w:p w14:paraId="6A886D4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200" w:type="dxa"/>
            <w:tcBorders>
              <w:top w:val="single" w:sz="4" w:space="0" w:color="auto"/>
              <w:left w:val="single" w:sz="4" w:space="0" w:color="auto"/>
              <w:bottom w:val="single" w:sz="4" w:space="0" w:color="auto"/>
              <w:right w:val="single" w:sz="4" w:space="0" w:color="auto"/>
            </w:tcBorders>
            <w:vAlign w:val="center"/>
          </w:tcPr>
          <w:p w14:paraId="0ED4AC5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0FE32E0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r>
      <w:tr w:rsidR="00000000" w14:paraId="7E8AED2F"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118AAD0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默认内门</w:t>
            </w:r>
          </w:p>
        </w:tc>
        <w:tc>
          <w:tcPr>
            <w:tcW w:w="2600" w:type="dxa"/>
            <w:tcBorders>
              <w:top w:val="single" w:sz="4" w:space="0" w:color="auto"/>
              <w:left w:val="single" w:sz="4" w:space="0" w:color="auto"/>
              <w:bottom w:val="single" w:sz="4" w:space="0" w:color="auto"/>
              <w:right w:val="single" w:sz="4" w:space="0" w:color="auto"/>
            </w:tcBorders>
            <w:vAlign w:val="center"/>
          </w:tcPr>
          <w:p w14:paraId="101D2E5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47.46</w:t>
            </w:r>
          </w:p>
        </w:tc>
        <w:tc>
          <w:tcPr>
            <w:tcW w:w="1200" w:type="dxa"/>
            <w:tcBorders>
              <w:top w:val="single" w:sz="4" w:space="0" w:color="auto"/>
              <w:left w:val="single" w:sz="4" w:space="0" w:color="auto"/>
              <w:bottom w:val="single" w:sz="4" w:space="0" w:color="auto"/>
              <w:right w:val="single" w:sz="4" w:space="0" w:color="auto"/>
            </w:tcBorders>
            <w:vAlign w:val="center"/>
          </w:tcPr>
          <w:p w14:paraId="4A8804B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200" w:type="dxa"/>
            <w:tcBorders>
              <w:top w:val="single" w:sz="4" w:space="0" w:color="auto"/>
              <w:left w:val="single" w:sz="4" w:space="0" w:color="auto"/>
              <w:bottom w:val="single" w:sz="4" w:space="0" w:color="auto"/>
              <w:right w:val="single" w:sz="4" w:space="0" w:color="auto"/>
            </w:tcBorders>
            <w:vAlign w:val="center"/>
          </w:tcPr>
          <w:p w14:paraId="5F2AC2E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068384D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r>
    </w:tbl>
    <w:p w14:paraId="32BA2B2C" w14:textId="77777777" w:rsidR="00000000" w:rsidRDefault="00000000">
      <w:pPr>
        <w:pStyle w:val="3"/>
        <w:spacing w:before="100" w:after="100"/>
        <w:jc w:val="both"/>
        <w:rPr>
          <w:rFonts w:ascii="微软雅黑" w:eastAsia="微软雅黑" w:cs="微软雅黑"/>
          <w:b/>
          <w:bCs/>
          <w:spacing w:val="20"/>
        </w:rPr>
      </w:pPr>
      <w:r>
        <w:rPr>
          <w:rFonts w:ascii="微软雅黑" w:eastAsia="微软雅黑" w:cs="微软雅黑"/>
          <w:b/>
          <w:bCs/>
          <w:spacing w:val="20"/>
        </w:rPr>
        <w:t xml:space="preserve">4.1.6 </w:t>
      </w:r>
      <w:r>
        <w:rPr>
          <w:rFonts w:ascii="微软雅黑" w:eastAsia="微软雅黑" w:cs="微软雅黑" w:hint="eastAsia"/>
          <w:b/>
          <w:bCs/>
          <w:spacing w:val="20"/>
        </w:rPr>
        <w:t>楼板空气声计权隔声量</w:t>
      </w:r>
    </w:p>
    <w:p w14:paraId="2B16FDA5"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（1）默认层间楼板</w:t>
      </w:r>
    </w:p>
    <w:p w14:paraId="2C0D616F"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默认层间楼板为：水泥砂浆(20.0mm)+钢筋混凝土(120.0mm)。</w:t>
      </w:r>
    </w:p>
    <w:p w14:paraId="185FA589"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13 </w:t>
      </w:r>
      <w:r>
        <w:rPr>
          <w:rFonts w:ascii="宋体" w:eastAsia="宋体" w:cs="宋体" w:hint="eastAsia"/>
          <w:sz w:val="20"/>
          <w:szCs w:val="20"/>
        </w:rPr>
        <w:t>默认层间楼板</w:t>
      </w:r>
    </w:p>
    <w:tbl>
      <w:tblPr>
        <w:tblW w:w="0" w:type="auto"/>
        <w:jc w:val="center"/>
        <w:tblLayout w:type="fixed"/>
        <w:tblCellMar>
          <w:left w:w="100" w:type="dxa"/>
          <w:right w:w="100" w:type="dxa"/>
        </w:tblCellMar>
        <w:tblLook w:val="0000" w:firstRow="0" w:lastRow="0" w:firstColumn="0" w:lastColumn="0" w:noHBand="0" w:noVBand="0"/>
      </w:tblPr>
      <w:tblGrid>
        <w:gridCol w:w="3900"/>
        <w:gridCol w:w="2000"/>
        <w:gridCol w:w="2500"/>
      </w:tblGrid>
      <w:tr w:rsidR="00000000" w14:paraId="6B9DF54F"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shd w:val="clear" w:color="auto" w:fill="AFAFAF"/>
            <w:vAlign w:val="center"/>
          </w:tcPr>
          <w:p w14:paraId="285E33D1"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材料构造</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40F6917F"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厚度(mm)</w:t>
            </w:r>
          </w:p>
        </w:tc>
        <w:tc>
          <w:tcPr>
            <w:tcW w:w="2500" w:type="dxa"/>
            <w:tcBorders>
              <w:top w:val="single" w:sz="4" w:space="0" w:color="auto"/>
              <w:left w:val="single" w:sz="4" w:space="0" w:color="auto"/>
              <w:bottom w:val="single" w:sz="4" w:space="0" w:color="auto"/>
              <w:right w:val="single" w:sz="4" w:space="0" w:color="auto"/>
            </w:tcBorders>
            <w:shd w:val="clear" w:color="auto" w:fill="AFAFAF"/>
            <w:vAlign w:val="center"/>
          </w:tcPr>
          <w:p w14:paraId="4E38944C"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材料密度(kg/m³)</w:t>
            </w:r>
          </w:p>
        </w:tc>
      </w:tr>
      <w:tr w:rsidR="00000000" w14:paraId="0D0078D0"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25D8BF6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水泥砂浆</w:t>
            </w:r>
          </w:p>
        </w:tc>
        <w:tc>
          <w:tcPr>
            <w:tcW w:w="2000" w:type="dxa"/>
            <w:tcBorders>
              <w:top w:val="single" w:sz="4" w:space="0" w:color="auto"/>
              <w:left w:val="single" w:sz="4" w:space="0" w:color="auto"/>
              <w:bottom w:val="single" w:sz="4" w:space="0" w:color="auto"/>
              <w:right w:val="single" w:sz="4" w:space="0" w:color="auto"/>
            </w:tcBorders>
            <w:vAlign w:val="center"/>
          </w:tcPr>
          <w:p w14:paraId="073394E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20.0</w:t>
            </w:r>
          </w:p>
        </w:tc>
        <w:tc>
          <w:tcPr>
            <w:tcW w:w="2500" w:type="dxa"/>
            <w:tcBorders>
              <w:top w:val="single" w:sz="4" w:space="0" w:color="auto"/>
              <w:left w:val="single" w:sz="4" w:space="0" w:color="auto"/>
              <w:bottom w:val="single" w:sz="4" w:space="0" w:color="auto"/>
              <w:right w:val="single" w:sz="4" w:space="0" w:color="auto"/>
            </w:tcBorders>
            <w:vAlign w:val="center"/>
          </w:tcPr>
          <w:p w14:paraId="60E359F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1800.00</w:t>
            </w:r>
          </w:p>
        </w:tc>
      </w:tr>
      <w:tr w:rsidR="00000000" w14:paraId="70D44A7F"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662769A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钢筋混凝土</w:t>
            </w:r>
          </w:p>
        </w:tc>
        <w:tc>
          <w:tcPr>
            <w:tcW w:w="2000" w:type="dxa"/>
            <w:tcBorders>
              <w:top w:val="single" w:sz="4" w:space="0" w:color="auto"/>
              <w:left w:val="single" w:sz="4" w:space="0" w:color="auto"/>
              <w:bottom w:val="single" w:sz="4" w:space="0" w:color="auto"/>
              <w:right w:val="single" w:sz="4" w:space="0" w:color="auto"/>
            </w:tcBorders>
            <w:vAlign w:val="center"/>
          </w:tcPr>
          <w:p w14:paraId="110C0375"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120.0</w:t>
            </w:r>
          </w:p>
        </w:tc>
        <w:tc>
          <w:tcPr>
            <w:tcW w:w="2500" w:type="dxa"/>
            <w:tcBorders>
              <w:top w:val="single" w:sz="4" w:space="0" w:color="auto"/>
              <w:left w:val="single" w:sz="4" w:space="0" w:color="auto"/>
              <w:bottom w:val="single" w:sz="4" w:space="0" w:color="auto"/>
              <w:right w:val="single" w:sz="4" w:space="0" w:color="auto"/>
            </w:tcBorders>
            <w:vAlign w:val="center"/>
          </w:tcPr>
          <w:p w14:paraId="14ED5B4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2500.00</w:t>
            </w:r>
          </w:p>
        </w:tc>
      </w:tr>
    </w:tbl>
    <w:p w14:paraId="1B3AECD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根据用户自定义，按照3.5.3章节类比法考察该构造的空气声计权隔声量。采用和该楼板结构相近的楼板隔声量数据，作为默认层间楼板的空气声计权隔声量。</w:t>
      </w:r>
    </w:p>
    <w:p w14:paraId="3E9BB903"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根据图集《建筑隔声与吸声构造》08J931，所选类比的材料构造为：200mm钢筋混凝土，其具体做法为200mm厚裸钢筋混凝土，其空气声计权隔声量Rw为57.00dB。</w:t>
      </w:r>
    </w:p>
    <w:p w14:paraId="77156C92"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根据自定义，得到该构造的粉红噪声频谱修正量C值为-0.01 dB。</w:t>
      </w:r>
    </w:p>
    <w:p w14:paraId="0BF31DFF"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因此，默认层间楼板的空气声隔声单值评价量+粉红噪声频谱修正量Rw+C为56.99 dB。</w:t>
      </w:r>
    </w:p>
    <w:p w14:paraId="08D263FB" w14:textId="5D246C74" w:rsidR="00000000" w:rsidRDefault="00C92DA5">
      <w:pPr>
        <w:spacing w:before="20" w:after="20"/>
        <w:jc w:val="center"/>
      </w:pPr>
      <w:r>
        <w:rPr>
          <w:noProof/>
        </w:rPr>
        <w:lastRenderedPageBreak/>
        <w:drawing>
          <wp:inline distT="0" distB="0" distL="0" distR="0" wp14:anchorId="392140E9" wp14:editId="0F8E3218">
            <wp:extent cx="2339340" cy="109093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9340" cy="1090930"/>
                    </a:xfrm>
                    <a:prstGeom prst="rect">
                      <a:avLst/>
                    </a:prstGeom>
                    <a:noFill/>
                    <a:ln>
                      <a:noFill/>
                    </a:ln>
                  </pic:spPr>
                </pic:pic>
              </a:graphicData>
            </a:graphic>
          </wp:inline>
        </w:drawing>
      </w:r>
    </w:p>
    <w:p w14:paraId="0A524B56"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7 </w:t>
      </w:r>
      <w:r>
        <w:rPr>
          <w:rFonts w:ascii="宋体" w:eastAsia="宋体" w:cs="宋体" w:hint="eastAsia"/>
          <w:sz w:val="20"/>
          <w:szCs w:val="20"/>
        </w:rPr>
        <w:t>默认层间楼板参照材料图集示意图</w:t>
      </w:r>
    </w:p>
    <w:p w14:paraId="1220C9BC"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（2）小结</w:t>
      </w:r>
    </w:p>
    <w:p w14:paraId="0EE7DA36"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14 </w:t>
      </w:r>
      <w:r>
        <w:rPr>
          <w:rFonts w:ascii="宋体" w:eastAsia="宋体" w:cs="宋体" w:hint="eastAsia"/>
          <w:sz w:val="20"/>
          <w:szCs w:val="20"/>
        </w:rPr>
        <w:t>楼板空气声隔声性能达标情况汇总表</w:t>
      </w:r>
    </w:p>
    <w:tbl>
      <w:tblPr>
        <w:tblW w:w="0" w:type="auto"/>
        <w:jc w:val="center"/>
        <w:tblLayout w:type="fixed"/>
        <w:tblCellMar>
          <w:left w:w="100" w:type="dxa"/>
          <w:right w:w="100" w:type="dxa"/>
        </w:tblCellMar>
        <w:tblLook w:val="0000" w:firstRow="0" w:lastRow="0" w:firstColumn="0" w:lastColumn="0" w:noHBand="0" w:noVBand="0"/>
      </w:tblPr>
      <w:tblGrid>
        <w:gridCol w:w="1500"/>
        <w:gridCol w:w="2600"/>
        <w:gridCol w:w="1200"/>
        <w:gridCol w:w="1200"/>
        <w:gridCol w:w="1800"/>
      </w:tblGrid>
      <w:tr w:rsidR="00000000" w14:paraId="62C969E0"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6FAB03D5"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楼板构件</w:t>
            </w:r>
          </w:p>
        </w:tc>
        <w:tc>
          <w:tcPr>
            <w:tcW w:w="2600" w:type="dxa"/>
            <w:tcBorders>
              <w:top w:val="single" w:sz="4" w:space="0" w:color="auto"/>
              <w:left w:val="single" w:sz="4" w:space="0" w:color="auto"/>
              <w:bottom w:val="single" w:sz="4" w:space="0" w:color="auto"/>
              <w:right w:val="single" w:sz="4" w:space="0" w:color="auto"/>
            </w:tcBorders>
            <w:shd w:val="clear" w:color="auto" w:fill="AFAFAF"/>
            <w:vAlign w:val="center"/>
          </w:tcPr>
          <w:p w14:paraId="0EBF07C1"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空气声隔声单值评价量+粉红噪声频谱修正量Rw+C</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519936E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低限要求</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7DDB1F5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高限要求</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14:paraId="5A4D4E8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达标情况</w:t>
            </w:r>
          </w:p>
        </w:tc>
      </w:tr>
      <w:tr w:rsidR="00000000" w14:paraId="2C5F5A50"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63EFAD5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默认层间楼板</w:t>
            </w:r>
          </w:p>
        </w:tc>
        <w:tc>
          <w:tcPr>
            <w:tcW w:w="2600" w:type="dxa"/>
            <w:tcBorders>
              <w:top w:val="single" w:sz="4" w:space="0" w:color="auto"/>
              <w:left w:val="single" w:sz="4" w:space="0" w:color="auto"/>
              <w:bottom w:val="single" w:sz="4" w:space="0" w:color="auto"/>
              <w:right w:val="single" w:sz="4" w:space="0" w:color="auto"/>
            </w:tcBorders>
            <w:vAlign w:val="center"/>
          </w:tcPr>
          <w:p w14:paraId="7CDA8D5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56.99</w:t>
            </w:r>
          </w:p>
        </w:tc>
        <w:tc>
          <w:tcPr>
            <w:tcW w:w="1200" w:type="dxa"/>
            <w:tcBorders>
              <w:top w:val="single" w:sz="4" w:space="0" w:color="auto"/>
              <w:left w:val="single" w:sz="4" w:space="0" w:color="auto"/>
              <w:bottom w:val="single" w:sz="4" w:space="0" w:color="auto"/>
              <w:right w:val="single" w:sz="4" w:space="0" w:color="auto"/>
            </w:tcBorders>
            <w:vAlign w:val="center"/>
          </w:tcPr>
          <w:p w14:paraId="676D4A8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&gt;55</w:t>
            </w:r>
          </w:p>
        </w:tc>
        <w:tc>
          <w:tcPr>
            <w:tcW w:w="1200" w:type="dxa"/>
            <w:tcBorders>
              <w:top w:val="single" w:sz="4" w:space="0" w:color="auto"/>
              <w:left w:val="single" w:sz="4" w:space="0" w:color="auto"/>
              <w:bottom w:val="single" w:sz="4" w:space="0" w:color="auto"/>
              <w:right w:val="single" w:sz="4" w:space="0" w:color="auto"/>
            </w:tcBorders>
            <w:vAlign w:val="center"/>
          </w:tcPr>
          <w:p w14:paraId="66D0E3B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&gt;60</w:t>
            </w:r>
          </w:p>
        </w:tc>
        <w:tc>
          <w:tcPr>
            <w:tcW w:w="1800" w:type="dxa"/>
            <w:tcBorders>
              <w:top w:val="single" w:sz="4" w:space="0" w:color="auto"/>
              <w:left w:val="single" w:sz="4" w:space="0" w:color="auto"/>
              <w:bottom w:val="single" w:sz="4" w:space="0" w:color="auto"/>
              <w:right w:val="single" w:sz="4" w:space="0" w:color="auto"/>
            </w:tcBorders>
            <w:vAlign w:val="center"/>
          </w:tcPr>
          <w:p w14:paraId="76BC2EE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达到低限要求</w:t>
            </w:r>
          </w:p>
        </w:tc>
      </w:tr>
    </w:tbl>
    <w:p w14:paraId="61186A2E" w14:textId="77777777" w:rsidR="00000000" w:rsidRDefault="00000000">
      <w:pPr>
        <w:pStyle w:val="2"/>
        <w:spacing w:before="150" w:after="150"/>
        <w:jc w:val="both"/>
        <w:rPr>
          <w:rFonts w:ascii="微软雅黑" w:eastAsia="微软雅黑" w:cs="微软雅黑"/>
          <w:b/>
          <w:bCs/>
          <w:spacing w:val="20"/>
        </w:rPr>
      </w:pPr>
      <w:r>
        <w:rPr>
          <w:rFonts w:ascii="微软雅黑" w:eastAsia="微软雅黑" w:cs="微软雅黑"/>
          <w:b/>
          <w:bCs/>
          <w:spacing w:val="20"/>
        </w:rPr>
        <w:t xml:space="preserve">4.2 </w:t>
      </w:r>
      <w:r>
        <w:rPr>
          <w:rFonts w:ascii="微软雅黑" w:eastAsia="微软雅黑" w:cs="微软雅黑" w:hint="eastAsia"/>
          <w:b/>
          <w:bCs/>
          <w:spacing w:val="20"/>
        </w:rPr>
        <w:t>楼板撞击声隔声分析</w:t>
      </w:r>
    </w:p>
    <w:p w14:paraId="00AE4C9E"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室内撞击声(也称固体声)主要有人员活动产生的楼板撞击声，设备、管道安装不当产生的固体传声等。</w:t>
      </w:r>
    </w:p>
    <w:p w14:paraId="39BDFE13"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建筑中噪声控制的任务就是通过一定的降噪减振措施，使房间内部噪声达到允许噪声标准。</w:t>
      </w:r>
    </w:p>
    <w:p w14:paraId="48C8ECFB"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（1）默认层间楼板</w:t>
      </w:r>
    </w:p>
    <w:p w14:paraId="5F382276"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默认层间楼板为：水泥砂浆(20.0mm)+钢筋混凝土(120.0mm)。</w:t>
      </w:r>
    </w:p>
    <w:p w14:paraId="078EFB70"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15 </w:t>
      </w:r>
      <w:r>
        <w:rPr>
          <w:rFonts w:ascii="宋体" w:eastAsia="宋体" w:cs="宋体" w:hint="eastAsia"/>
          <w:sz w:val="20"/>
          <w:szCs w:val="20"/>
        </w:rPr>
        <w:t>默认层间楼板</w:t>
      </w:r>
    </w:p>
    <w:tbl>
      <w:tblPr>
        <w:tblW w:w="0" w:type="auto"/>
        <w:jc w:val="center"/>
        <w:tblLayout w:type="fixed"/>
        <w:tblCellMar>
          <w:left w:w="100" w:type="dxa"/>
          <w:right w:w="100" w:type="dxa"/>
        </w:tblCellMar>
        <w:tblLook w:val="0000" w:firstRow="0" w:lastRow="0" w:firstColumn="0" w:lastColumn="0" w:noHBand="0" w:noVBand="0"/>
      </w:tblPr>
      <w:tblGrid>
        <w:gridCol w:w="3900"/>
        <w:gridCol w:w="2000"/>
        <w:gridCol w:w="2500"/>
      </w:tblGrid>
      <w:tr w:rsidR="00000000" w14:paraId="7DA7D73C"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shd w:val="clear" w:color="auto" w:fill="AFAFAF"/>
            <w:vAlign w:val="center"/>
          </w:tcPr>
          <w:p w14:paraId="1350A0C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材料构造</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14:paraId="1733ADE9"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厚度(mm)</w:t>
            </w:r>
          </w:p>
        </w:tc>
        <w:tc>
          <w:tcPr>
            <w:tcW w:w="2500" w:type="dxa"/>
            <w:tcBorders>
              <w:top w:val="single" w:sz="4" w:space="0" w:color="auto"/>
              <w:left w:val="single" w:sz="4" w:space="0" w:color="auto"/>
              <w:bottom w:val="single" w:sz="4" w:space="0" w:color="auto"/>
              <w:right w:val="single" w:sz="4" w:space="0" w:color="auto"/>
            </w:tcBorders>
            <w:shd w:val="clear" w:color="auto" w:fill="AFAFAF"/>
            <w:vAlign w:val="center"/>
          </w:tcPr>
          <w:p w14:paraId="34A3740D"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材料密度(kg/m³)</w:t>
            </w:r>
          </w:p>
        </w:tc>
      </w:tr>
      <w:tr w:rsidR="00000000" w14:paraId="61DD498A"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2AF901B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水泥砂浆</w:t>
            </w:r>
          </w:p>
        </w:tc>
        <w:tc>
          <w:tcPr>
            <w:tcW w:w="2000" w:type="dxa"/>
            <w:tcBorders>
              <w:top w:val="single" w:sz="4" w:space="0" w:color="auto"/>
              <w:left w:val="single" w:sz="4" w:space="0" w:color="auto"/>
              <w:bottom w:val="single" w:sz="4" w:space="0" w:color="auto"/>
              <w:right w:val="single" w:sz="4" w:space="0" w:color="auto"/>
            </w:tcBorders>
            <w:vAlign w:val="center"/>
          </w:tcPr>
          <w:p w14:paraId="2DC2EEE5"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20.0</w:t>
            </w:r>
          </w:p>
        </w:tc>
        <w:tc>
          <w:tcPr>
            <w:tcW w:w="2500" w:type="dxa"/>
            <w:tcBorders>
              <w:top w:val="single" w:sz="4" w:space="0" w:color="auto"/>
              <w:left w:val="single" w:sz="4" w:space="0" w:color="auto"/>
              <w:bottom w:val="single" w:sz="4" w:space="0" w:color="auto"/>
              <w:right w:val="single" w:sz="4" w:space="0" w:color="auto"/>
            </w:tcBorders>
            <w:vAlign w:val="center"/>
          </w:tcPr>
          <w:p w14:paraId="2A5389E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1800.00</w:t>
            </w:r>
          </w:p>
        </w:tc>
      </w:tr>
      <w:tr w:rsidR="00000000" w14:paraId="0F0B32D3" w14:textId="77777777">
        <w:tblPrEx>
          <w:tblCellMar>
            <w:top w:w="0" w:type="dxa"/>
            <w:bottom w:w="0" w:type="dxa"/>
          </w:tblCellMar>
        </w:tblPrEx>
        <w:trPr>
          <w:jc w:val="center"/>
        </w:trPr>
        <w:tc>
          <w:tcPr>
            <w:tcW w:w="3900" w:type="dxa"/>
            <w:tcBorders>
              <w:top w:val="single" w:sz="4" w:space="0" w:color="auto"/>
              <w:left w:val="single" w:sz="4" w:space="0" w:color="auto"/>
              <w:bottom w:val="single" w:sz="4" w:space="0" w:color="auto"/>
              <w:right w:val="single" w:sz="4" w:space="0" w:color="auto"/>
            </w:tcBorders>
            <w:vAlign w:val="center"/>
          </w:tcPr>
          <w:p w14:paraId="015B13F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钢筋混凝土</w:t>
            </w:r>
          </w:p>
        </w:tc>
        <w:tc>
          <w:tcPr>
            <w:tcW w:w="2000" w:type="dxa"/>
            <w:tcBorders>
              <w:top w:val="single" w:sz="4" w:space="0" w:color="auto"/>
              <w:left w:val="single" w:sz="4" w:space="0" w:color="auto"/>
              <w:bottom w:val="single" w:sz="4" w:space="0" w:color="auto"/>
              <w:right w:val="single" w:sz="4" w:space="0" w:color="auto"/>
            </w:tcBorders>
            <w:vAlign w:val="center"/>
          </w:tcPr>
          <w:p w14:paraId="1E18D21B"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120.0</w:t>
            </w:r>
          </w:p>
        </w:tc>
        <w:tc>
          <w:tcPr>
            <w:tcW w:w="2500" w:type="dxa"/>
            <w:tcBorders>
              <w:top w:val="single" w:sz="4" w:space="0" w:color="auto"/>
              <w:left w:val="single" w:sz="4" w:space="0" w:color="auto"/>
              <w:bottom w:val="single" w:sz="4" w:space="0" w:color="auto"/>
              <w:right w:val="single" w:sz="4" w:space="0" w:color="auto"/>
            </w:tcBorders>
            <w:vAlign w:val="center"/>
          </w:tcPr>
          <w:p w14:paraId="3941093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2500.00</w:t>
            </w:r>
          </w:p>
        </w:tc>
      </w:tr>
    </w:tbl>
    <w:p w14:paraId="3BA98E7C"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本报告按照类比法考察该构造的计权标准化撞击声压级。采用和该楼板结构相近的楼板计权标准化撞击声压级数据，作为默认层间楼板的计权标准化撞击声压级。</w:t>
      </w:r>
    </w:p>
    <w:p w14:paraId="72CC0FF9"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根据广东省《ALE隔声涂料、隔声垫楼面隔声建筑构造》粤19J/T008，所选类比的材料构造为：架空实木地板饰面楼面(5厚ALE隔声垫)2，其具体做法为18厚实木地板+20厚D(W)S M15水泥砂浆+5厚ALE隔声垫+100厚原楼板+踢脚+5厚ALE隔声垫+30*40@400木龙骨，其计权标准化撞击声压级为40.00dB。</w:t>
      </w:r>
    </w:p>
    <w:p w14:paraId="198DB70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因此，默认层间楼板的计权标准化撞击声压级约为40.00 dB。</w:t>
      </w:r>
    </w:p>
    <w:p w14:paraId="6CB23212" w14:textId="4807EA70" w:rsidR="00000000" w:rsidRDefault="00C92DA5">
      <w:pPr>
        <w:spacing w:before="20" w:after="20"/>
        <w:jc w:val="center"/>
      </w:pPr>
      <w:r>
        <w:rPr>
          <w:noProof/>
        </w:rPr>
        <w:drawing>
          <wp:inline distT="0" distB="0" distL="0" distR="0" wp14:anchorId="4BC3F63F" wp14:editId="727D3284">
            <wp:extent cx="2339340" cy="1360170"/>
            <wp:effectExtent l="0" t="0" r="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9340" cy="1360170"/>
                    </a:xfrm>
                    <a:prstGeom prst="rect">
                      <a:avLst/>
                    </a:prstGeom>
                    <a:noFill/>
                    <a:ln>
                      <a:noFill/>
                    </a:ln>
                  </pic:spPr>
                </pic:pic>
              </a:graphicData>
            </a:graphic>
          </wp:inline>
        </w:drawing>
      </w:r>
    </w:p>
    <w:p w14:paraId="0B37C9CA" w14:textId="77777777" w:rsidR="00000000" w:rsidRDefault="00000000">
      <w:pPr>
        <w:spacing w:before="20" w:after="60"/>
        <w:jc w:val="center"/>
        <w:rPr>
          <w:rFonts w:ascii="宋体" w:eastAsia="宋体" w:cs="宋体"/>
          <w:sz w:val="20"/>
          <w:szCs w:val="20"/>
        </w:rPr>
      </w:pPr>
      <w:r>
        <w:rPr>
          <w:rFonts w:ascii="宋体" w:eastAsia="宋体" w:cs="宋体" w:hint="eastAsia"/>
          <w:sz w:val="20"/>
          <w:szCs w:val="20"/>
        </w:rPr>
        <w:t>图</w:t>
      </w:r>
      <w:r>
        <w:rPr>
          <w:rFonts w:eastAsia="宋体"/>
          <w:sz w:val="20"/>
          <w:szCs w:val="20"/>
        </w:rPr>
        <w:t xml:space="preserve">8 </w:t>
      </w:r>
      <w:r>
        <w:rPr>
          <w:rFonts w:ascii="宋体" w:eastAsia="宋体" w:cs="宋体" w:hint="eastAsia"/>
          <w:sz w:val="20"/>
          <w:szCs w:val="20"/>
        </w:rPr>
        <w:t>默认层间楼板参照楼板图集示意图</w:t>
      </w:r>
    </w:p>
    <w:p w14:paraId="7644F790" w14:textId="77777777" w:rsidR="00000000" w:rsidRDefault="00000000">
      <w:pPr>
        <w:spacing w:before="20" w:after="20"/>
        <w:rPr>
          <w:rFonts w:ascii="微软雅黑" w:eastAsia="微软雅黑" w:cs="微软雅黑"/>
          <w:b/>
          <w:bCs/>
          <w:spacing w:val="10"/>
          <w:sz w:val="21"/>
          <w:szCs w:val="21"/>
        </w:rPr>
      </w:pPr>
      <w:r>
        <w:rPr>
          <w:rFonts w:ascii="微软雅黑" w:eastAsia="微软雅黑" w:cs="微软雅黑" w:hint="eastAsia"/>
          <w:b/>
          <w:bCs/>
          <w:spacing w:val="10"/>
          <w:sz w:val="21"/>
          <w:szCs w:val="21"/>
        </w:rPr>
        <w:t>（2）小结</w:t>
      </w:r>
    </w:p>
    <w:p w14:paraId="4EDA3D75"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lastRenderedPageBreak/>
        <w:t>表</w:t>
      </w:r>
      <w:r>
        <w:rPr>
          <w:rFonts w:eastAsia="宋体"/>
          <w:sz w:val="20"/>
          <w:szCs w:val="20"/>
        </w:rPr>
        <w:t xml:space="preserve">16 </w:t>
      </w:r>
      <w:r>
        <w:rPr>
          <w:rFonts w:ascii="宋体" w:eastAsia="宋体" w:cs="宋体" w:hint="eastAsia"/>
          <w:sz w:val="20"/>
          <w:szCs w:val="20"/>
        </w:rPr>
        <w:t>楼板撞击声隔声性能达标情况汇总表</w:t>
      </w:r>
    </w:p>
    <w:tbl>
      <w:tblPr>
        <w:tblW w:w="0" w:type="auto"/>
        <w:jc w:val="center"/>
        <w:tblLayout w:type="fixed"/>
        <w:tblCellMar>
          <w:left w:w="100" w:type="dxa"/>
          <w:right w:w="100" w:type="dxa"/>
        </w:tblCellMar>
        <w:tblLook w:val="0000" w:firstRow="0" w:lastRow="0" w:firstColumn="0" w:lastColumn="0" w:noHBand="0" w:noVBand="0"/>
      </w:tblPr>
      <w:tblGrid>
        <w:gridCol w:w="1500"/>
        <w:gridCol w:w="2600"/>
        <w:gridCol w:w="1200"/>
        <w:gridCol w:w="1200"/>
        <w:gridCol w:w="1800"/>
      </w:tblGrid>
      <w:tr w:rsidR="00000000" w14:paraId="750A2505"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25748BF2"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楼板构件</w:t>
            </w:r>
          </w:p>
        </w:tc>
        <w:tc>
          <w:tcPr>
            <w:tcW w:w="2600" w:type="dxa"/>
            <w:tcBorders>
              <w:top w:val="single" w:sz="4" w:space="0" w:color="auto"/>
              <w:left w:val="single" w:sz="4" w:space="0" w:color="auto"/>
              <w:bottom w:val="single" w:sz="4" w:space="0" w:color="auto"/>
              <w:right w:val="single" w:sz="4" w:space="0" w:color="auto"/>
            </w:tcBorders>
            <w:shd w:val="clear" w:color="auto" w:fill="AFAFAF"/>
            <w:vAlign w:val="center"/>
          </w:tcPr>
          <w:p w14:paraId="03297F9C"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计权标准化撞击声压级</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6A113C17"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低限要求</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323B35F2"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高限要求</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14:paraId="24914B8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达标情况</w:t>
            </w:r>
          </w:p>
        </w:tc>
      </w:tr>
      <w:tr w:rsidR="00000000" w14:paraId="016ABCC9" w14:textId="77777777">
        <w:tblPrEx>
          <w:tblCellMar>
            <w:top w:w="0" w:type="dxa"/>
            <w:bottom w:w="0" w:type="dxa"/>
          </w:tblCellMar>
        </w:tblPrEx>
        <w:trPr>
          <w:jc w:val="center"/>
        </w:trPr>
        <w:tc>
          <w:tcPr>
            <w:tcW w:w="1500" w:type="dxa"/>
            <w:tcBorders>
              <w:top w:val="single" w:sz="4" w:space="0" w:color="auto"/>
              <w:left w:val="single" w:sz="4" w:space="0" w:color="auto"/>
              <w:bottom w:val="single" w:sz="4" w:space="0" w:color="auto"/>
              <w:right w:val="single" w:sz="4" w:space="0" w:color="auto"/>
            </w:tcBorders>
            <w:vAlign w:val="center"/>
          </w:tcPr>
          <w:p w14:paraId="213B218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默认层间楼板</w:t>
            </w:r>
          </w:p>
        </w:tc>
        <w:tc>
          <w:tcPr>
            <w:tcW w:w="2600" w:type="dxa"/>
            <w:tcBorders>
              <w:top w:val="single" w:sz="4" w:space="0" w:color="auto"/>
              <w:left w:val="single" w:sz="4" w:space="0" w:color="auto"/>
              <w:bottom w:val="single" w:sz="4" w:space="0" w:color="auto"/>
              <w:right w:val="single" w:sz="4" w:space="0" w:color="auto"/>
            </w:tcBorders>
            <w:vAlign w:val="center"/>
          </w:tcPr>
          <w:p w14:paraId="7481594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40.00</w:t>
            </w:r>
          </w:p>
        </w:tc>
        <w:tc>
          <w:tcPr>
            <w:tcW w:w="1200" w:type="dxa"/>
            <w:tcBorders>
              <w:top w:val="single" w:sz="4" w:space="0" w:color="auto"/>
              <w:left w:val="single" w:sz="4" w:space="0" w:color="auto"/>
              <w:bottom w:val="single" w:sz="4" w:space="0" w:color="auto"/>
              <w:right w:val="single" w:sz="4" w:space="0" w:color="auto"/>
            </w:tcBorders>
            <w:vAlign w:val="center"/>
          </w:tcPr>
          <w:p w14:paraId="214A1B6F"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≤50</w:t>
            </w:r>
          </w:p>
        </w:tc>
        <w:tc>
          <w:tcPr>
            <w:tcW w:w="1200" w:type="dxa"/>
            <w:tcBorders>
              <w:top w:val="single" w:sz="4" w:space="0" w:color="auto"/>
              <w:left w:val="single" w:sz="4" w:space="0" w:color="auto"/>
              <w:bottom w:val="single" w:sz="4" w:space="0" w:color="auto"/>
              <w:right w:val="single" w:sz="4" w:space="0" w:color="auto"/>
            </w:tcBorders>
            <w:vAlign w:val="center"/>
          </w:tcPr>
          <w:p w14:paraId="330B3EE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≤45</w:t>
            </w:r>
          </w:p>
        </w:tc>
        <w:tc>
          <w:tcPr>
            <w:tcW w:w="1800" w:type="dxa"/>
            <w:tcBorders>
              <w:top w:val="single" w:sz="4" w:space="0" w:color="auto"/>
              <w:left w:val="single" w:sz="4" w:space="0" w:color="auto"/>
              <w:bottom w:val="single" w:sz="4" w:space="0" w:color="auto"/>
              <w:right w:val="single" w:sz="4" w:space="0" w:color="auto"/>
            </w:tcBorders>
            <w:vAlign w:val="center"/>
          </w:tcPr>
          <w:p w14:paraId="5177F12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r>
    </w:tbl>
    <w:p w14:paraId="76D9222A" w14:textId="77777777" w:rsidR="00000000" w:rsidRDefault="00000000">
      <w:pPr>
        <w:pStyle w:val="1"/>
        <w:spacing w:before="200" w:after="200"/>
        <w:jc w:val="both"/>
        <w:rPr>
          <w:rFonts w:ascii="微软雅黑" w:eastAsia="微软雅黑" w:cs="微软雅黑"/>
          <w:b/>
          <w:bCs/>
          <w:spacing w:val="20"/>
          <w:sz w:val="30"/>
          <w:szCs w:val="30"/>
        </w:rPr>
      </w:pPr>
      <w:r>
        <w:rPr>
          <w:rFonts w:ascii="微软雅黑" w:eastAsia="微软雅黑" w:cs="微软雅黑" w:hint="eastAsia"/>
          <w:b/>
          <w:bCs/>
          <w:spacing w:val="20"/>
          <w:sz w:val="30"/>
          <w:szCs w:val="30"/>
        </w:rPr>
        <w:t>五、分析结论</w:t>
      </w:r>
    </w:p>
    <w:p w14:paraId="0300997A"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经过对本项目外墙、隔墙、窗、透明幕墙、门、楼板的空气声隔声性能以及楼板的撞击声隔声性能进行计算分析，得到本项目建筑构件隔声统计结果，如下表所示：</w:t>
      </w:r>
    </w:p>
    <w:p w14:paraId="490C91D8"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17 </w:t>
      </w:r>
      <w:r>
        <w:rPr>
          <w:rFonts w:ascii="宋体" w:eastAsia="宋体" w:cs="宋体" w:hint="eastAsia"/>
          <w:sz w:val="20"/>
          <w:szCs w:val="20"/>
        </w:rPr>
        <w:t>空气声隔声结果统计表</w:t>
      </w:r>
    </w:p>
    <w:tbl>
      <w:tblPr>
        <w:tblW w:w="0" w:type="auto"/>
        <w:jc w:val="center"/>
        <w:tblLayout w:type="fixed"/>
        <w:tblCellMar>
          <w:left w:w="100" w:type="dxa"/>
          <w:right w:w="100" w:type="dxa"/>
        </w:tblCellMar>
        <w:tblLook w:val="0000" w:firstRow="0" w:lastRow="0" w:firstColumn="0" w:lastColumn="0" w:noHBand="0" w:noVBand="0"/>
      </w:tblPr>
      <w:tblGrid>
        <w:gridCol w:w="1200"/>
        <w:gridCol w:w="1500"/>
        <w:gridCol w:w="2500"/>
        <w:gridCol w:w="2300"/>
        <w:gridCol w:w="1000"/>
      </w:tblGrid>
      <w:tr w:rsidR="00000000" w14:paraId="2C5C3FCB"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0243F1FA"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构件</w:t>
            </w: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03A6BA86"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构造</w:t>
            </w:r>
          </w:p>
        </w:tc>
        <w:tc>
          <w:tcPr>
            <w:tcW w:w="2500" w:type="dxa"/>
            <w:tcBorders>
              <w:top w:val="single" w:sz="4" w:space="0" w:color="auto"/>
              <w:left w:val="single" w:sz="4" w:space="0" w:color="auto"/>
              <w:bottom w:val="single" w:sz="4" w:space="0" w:color="auto"/>
              <w:right w:val="single" w:sz="4" w:space="0" w:color="auto"/>
            </w:tcBorders>
            <w:shd w:val="clear" w:color="auto" w:fill="AFAFAF"/>
            <w:vAlign w:val="center"/>
          </w:tcPr>
          <w:p w14:paraId="2E4E4AB9"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空气声隔声单值评价量+频谱修正量</w:t>
            </w:r>
          </w:p>
        </w:tc>
        <w:tc>
          <w:tcPr>
            <w:tcW w:w="2300" w:type="dxa"/>
            <w:tcBorders>
              <w:top w:val="single" w:sz="4" w:space="0" w:color="auto"/>
              <w:left w:val="single" w:sz="4" w:space="0" w:color="auto"/>
              <w:bottom w:val="single" w:sz="4" w:space="0" w:color="auto"/>
              <w:right w:val="single" w:sz="4" w:space="0" w:color="auto"/>
            </w:tcBorders>
            <w:shd w:val="clear" w:color="auto" w:fill="AFAFAF"/>
            <w:vAlign w:val="center"/>
          </w:tcPr>
          <w:p w14:paraId="0C9573D7"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 xml:space="preserve">达标情况 </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5C89C520"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得分</w:t>
            </w:r>
          </w:p>
        </w:tc>
      </w:tr>
      <w:tr w:rsidR="00000000" w14:paraId="444C5BA5"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6A0824C3"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外墙</w:t>
            </w:r>
          </w:p>
        </w:tc>
        <w:tc>
          <w:tcPr>
            <w:tcW w:w="1500" w:type="dxa"/>
            <w:tcBorders>
              <w:top w:val="single" w:sz="4" w:space="0" w:color="auto"/>
              <w:left w:val="single" w:sz="4" w:space="0" w:color="auto"/>
              <w:bottom w:val="single" w:sz="4" w:space="0" w:color="auto"/>
              <w:right w:val="single" w:sz="4" w:space="0" w:color="auto"/>
            </w:tcBorders>
            <w:vAlign w:val="center"/>
          </w:tcPr>
          <w:p w14:paraId="55773AC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默认填充墙</w:t>
            </w:r>
          </w:p>
        </w:tc>
        <w:tc>
          <w:tcPr>
            <w:tcW w:w="2500" w:type="dxa"/>
            <w:tcBorders>
              <w:top w:val="single" w:sz="4" w:space="0" w:color="auto"/>
              <w:left w:val="single" w:sz="4" w:space="0" w:color="auto"/>
              <w:bottom w:val="single" w:sz="4" w:space="0" w:color="auto"/>
              <w:right w:val="single" w:sz="4" w:space="0" w:color="auto"/>
            </w:tcBorders>
            <w:vAlign w:val="center"/>
          </w:tcPr>
          <w:p w14:paraId="5A16103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52.97</w:t>
            </w:r>
          </w:p>
        </w:tc>
        <w:tc>
          <w:tcPr>
            <w:tcW w:w="2300" w:type="dxa"/>
            <w:tcBorders>
              <w:top w:val="single" w:sz="4" w:space="0" w:color="auto"/>
              <w:left w:val="single" w:sz="4" w:space="0" w:color="auto"/>
              <w:bottom w:val="single" w:sz="4" w:space="0" w:color="auto"/>
              <w:right w:val="single" w:sz="4" w:space="0" w:color="auto"/>
            </w:tcBorders>
            <w:vAlign w:val="center"/>
          </w:tcPr>
          <w:p w14:paraId="1B793C3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1506E358"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0</w:t>
            </w:r>
          </w:p>
        </w:tc>
      </w:tr>
      <w:tr w:rsidR="00000000" w14:paraId="674D5FB8"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4064970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隔墙</w:t>
            </w:r>
          </w:p>
        </w:tc>
        <w:tc>
          <w:tcPr>
            <w:tcW w:w="1500" w:type="dxa"/>
            <w:tcBorders>
              <w:top w:val="single" w:sz="4" w:space="0" w:color="auto"/>
              <w:left w:val="single" w:sz="4" w:space="0" w:color="auto"/>
              <w:bottom w:val="single" w:sz="4" w:space="0" w:color="auto"/>
              <w:right w:val="single" w:sz="4" w:space="0" w:color="auto"/>
            </w:tcBorders>
            <w:vAlign w:val="center"/>
          </w:tcPr>
          <w:p w14:paraId="6E0258A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默认内墙填充墙</w:t>
            </w:r>
          </w:p>
        </w:tc>
        <w:tc>
          <w:tcPr>
            <w:tcW w:w="2500" w:type="dxa"/>
            <w:tcBorders>
              <w:top w:val="single" w:sz="4" w:space="0" w:color="auto"/>
              <w:left w:val="single" w:sz="4" w:space="0" w:color="auto"/>
              <w:bottom w:val="single" w:sz="4" w:space="0" w:color="auto"/>
              <w:right w:val="single" w:sz="4" w:space="0" w:color="auto"/>
            </w:tcBorders>
            <w:vAlign w:val="center"/>
          </w:tcPr>
          <w:p w14:paraId="6B0F1312"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67.00</w:t>
            </w:r>
          </w:p>
        </w:tc>
        <w:tc>
          <w:tcPr>
            <w:tcW w:w="2300" w:type="dxa"/>
            <w:tcBorders>
              <w:top w:val="single" w:sz="4" w:space="0" w:color="auto"/>
              <w:left w:val="single" w:sz="4" w:space="0" w:color="auto"/>
              <w:bottom w:val="single" w:sz="4" w:space="0" w:color="auto"/>
              <w:right w:val="single" w:sz="4" w:space="0" w:color="auto"/>
            </w:tcBorders>
            <w:vAlign w:val="center"/>
          </w:tcPr>
          <w:p w14:paraId="3C5B79A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c>
          <w:tcPr>
            <w:tcW w:w="1000" w:type="dxa"/>
            <w:vMerge/>
            <w:tcBorders>
              <w:top w:val="single" w:sz="4" w:space="0" w:color="auto"/>
              <w:left w:val="single" w:sz="4" w:space="0" w:color="auto"/>
              <w:bottom w:val="single" w:sz="4" w:space="0" w:color="auto"/>
              <w:right w:val="single" w:sz="4" w:space="0" w:color="auto"/>
            </w:tcBorders>
            <w:vAlign w:val="center"/>
          </w:tcPr>
          <w:p w14:paraId="1C579720" w14:textId="77777777" w:rsidR="00000000" w:rsidRDefault="00000000">
            <w:pPr>
              <w:spacing w:before="25" w:after="25"/>
              <w:jc w:val="center"/>
              <w:rPr>
                <w:rFonts w:ascii="宋体" w:eastAsia="宋体" w:cs="宋体"/>
                <w:sz w:val="20"/>
                <w:szCs w:val="20"/>
              </w:rPr>
            </w:pPr>
          </w:p>
        </w:tc>
      </w:tr>
      <w:tr w:rsidR="00000000" w14:paraId="322C405F"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1E5DFF6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窗</w:t>
            </w:r>
          </w:p>
        </w:tc>
        <w:tc>
          <w:tcPr>
            <w:tcW w:w="1500" w:type="dxa"/>
            <w:tcBorders>
              <w:top w:val="single" w:sz="4" w:space="0" w:color="auto"/>
              <w:left w:val="single" w:sz="4" w:space="0" w:color="auto"/>
              <w:bottom w:val="single" w:sz="4" w:space="0" w:color="auto"/>
              <w:right w:val="single" w:sz="4" w:space="0" w:color="auto"/>
            </w:tcBorders>
            <w:vAlign w:val="center"/>
          </w:tcPr>
          <w:p w14:paraId="171C831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默认外窗</w:t>
            </w:r>
          </w:p>
        </w:tc>
        <w:tc>
          <w:tcPr>
            <w:tcW w:w="2500" w:type="dxa"/>
            <w:tcBorders>
              <w:top w:val="single" w:sz="4" w:space="0" w:color="auto"/>
              <w:left w:val="single" w:sz="4" w:space="0" w:color="auto"/>
              <w:bottom w:val="single" w:sz="4" w:space="0" w:color="auto"/>
              <w:right w:val="single" w:sz="4" w:space="0" w:color="auto"/>
            </w:tcBorders>
            <w:vAlign w:val="center"/>
          </w:tcPr>
          <w:p w14:paraId="3BDDCD5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53.00</w:t>
            </w:r>
          </w:p>
        </w:tc>
        <w:tc>
          <w:tcPr>
            <w:tcW w:w="2300" w:type="dxa"/>
            <w:tcBorders>
              <w:top w:val="single" w:sz="4" w:space="0" w:color="auto"/>
              <w:left w:val="single" w:sz="4" w:space="0" w:color="auto"/>
              <w:bottom w:val="single" w:sz="4" w:space="0" w:color="auto"/>
              <w:right w:val="single" w:sz="4" w:space="0" w:color="auto"/>
            </w:tcBorders>
            <w:vAlign w:val="center"/>
          </w:tcPr>
          <w:p w14:paraId="471A6C99"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c>
          <w:tcPr>
            <w:tcW w:w="1000" w:type="dxa"/>
            <w:vMerge/>
            <w:tcBorders>
              <w:top w:val="single" w:sz="4" w:space="0" w:color="auto"/>
              <w:left w:val="single" w:sz="4" w:space="0" w:color="auto"/>
              <w:bottom w:val="single" w:sz="4" w:space="0" w:color="auto"/>
              <w:right w:val="single" w:sz="4" w:space="0" w:color="auto"/>
            </w:tcBorders>
            <w:vAlign w:val="center"/>
          </w:tcPr>
          <w:p w14:paraId="5BC5110E" w14:textId="77777777" w:rsidR="00000000" w:rsidRDefault="00000000">
            <w:pPr>
              <w:spacing w:before="25" w:after="25"/>
              <w:jc w:val="center"/>
              <w:rPr>
                <w:rFonts w:ascii="宋体" w:eastAsia="宋体" w:cs="宋体"/>
                <w:sz w:val="20"/>
                <w:szCs w:val="20"/>
              </w:rPr>
            </w:pPr>
          </w:p>
        </w:tc>
      </w:tr>
      <w:tr w:rsidR="00000000" w14:paraId="0C4CB946"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66AE40C5"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透明幕墙</w:t>
            </w:r>
          </w:p>
        </w:tc>
        <w:tc>
          <w:tcPr>
            <w:tcW w:w="1500" w:type="dxa"/>
            <w:tcBorders>
              <w:top w:val="single" w:sz="4" w:space="0" w:color="auto"/>
              <w:left w:val="single" w:sz="4" w:space="0" w:color="auto"/>
              <w:bottom w:val="single" w:sz="4" w:space="0" w:color="auto"/>
              <w:right w:val="single" w:sz="4" w:space="0" w:color="auto"/>
            </w:tcBorders>
            <w:vAlign w:val="center"/>
          </w:tcPr>
          <w:p w14:paraId="45F7B19D"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默认透光幕墙</w:t>
            </w:r>
          </w:p>
        </w:tc>
        <w:tc>
          <w:tcPr>
            <w:tcW w:w="2500" w:type="dxa"/>
            <w:tcBorders>
              <w:top w:val="single" w:sz="4" w:space="0" w:color="auto"/>
              <w:left w:val="single" w:sz="4" w:space="0" w:color="auto"/>
              <w:bottom w:val="single" w:sz="4" w:space="0" w:color="auto"/>
              <w:right w:val="single" w:sz="4" w:space="0" w:color="auto"/>
            </w:tcBorders>
            <w:vAlign w:val="center"/>
          </w:tcPr>
          <w:p w14:paraId="4A65AB07"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32.57</w:t>
            </w:r>
          </w:p>
        </w:tc>
        <w:tc>
          <w:tcPr>
            <w:tcW w:w="2300" w:type="dxa"/>
            <w:tcBorders>
              <w:top w:val="single" w:sz="4" w:space="0" w:color="auto"/>
              <w:left w:val="single" w:sz="4" w:space="0" w:color="auto"/>
              <w:bottom w:val="single" w:sz="4" w:space="0" w:color="auto"/>
              <w:right w:val="single" w:sz="4" w:space="0" w:color="auto"/>
            </w:tcBorders>
            <w:vAlign w:val="center"/>
          </w:tcPr>
          <w:p w14:paraId="395F00F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c>
          <w:tcPr>
            <w:tcW w:w="1000" w:type="dxa"/>
            <w:vMerge/>
            <w:tcBorders>
              <w:top w:val="single" w:sz="4" w:space="0" w:color="auto"/>
              <w:left w:val="single" w:sz="4" w:space="0" w:color="auto"/>
              <w:bottom w:val="single" w:sz="4" w:space="0" w:color="auto"/>
              <w:right w:val="single" w:sz="4" w:space="0" w:color="auto"/>
            </w:tcBorders>
            <w:vAlign w:val="center"/>
          </w:tcPr>
          <w:p w14:paraId="0CB4B9E8" w14:textId="77777777" w:rsidR="00000000" w:rsidRDefault="00000000">
            <w:pPr>
              <w:spacing w:before="25" w:after="25"/>
              <w:jc w:val="center"/>
              <w:rPr>
                <w:rFonts w:ascii="宋体" w:eastAsia="宋体" w:cs="宋体"/>
                <w:sz w:val="20"/>
                <w:szCs w:val="20"/>
              </w:rPr>
            </w:pPr>
          </w:p>
        </w:tc>
      </w:tr>
      <w:tr w:rsidR="00000000" w14:paraId="4F00E0FC" w14:textId="77777777">
        <w:tblPrEx>
          <w:tblCellMar>
            <w:top w:w="0" w:type="dxa"/>
            <w:bottom w:w="0" w:type="dxa"/>
          </w:tblCellMar>
        </w:tblPrEx>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766C6A8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门</w:t>
            </w:r>
          </w:p>
        </w:tc>
        <w:tc>
          <w:tcPr>
            <w:tcW w:w="1500" w:type="dxa"/>
            <w:tcBorders>
              <w:top w:val="single" w:sz="4" w:space="0" w:color="auto"/>
              <w:left w:val="single" w:sz="4" w:space="0" w:color="auto"/>
              <w:bottom w:val="single" w:sz="4" w:space="0" w:color="auto"/>
              <w:right w:val="single" w:sz="4" w:space="0" w:color="auto"/>
            </w:tcBorders>
            <w:vAlign w:val="center"/>
          </w:tcPr>
          <w:p w14:paraId="38407EF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默认外门</w:t>
            </w:r>
          </w:p>
        </w:tc>
        <w:tc>
          <w:tcPr>
            <w:tcW w:w="2500" w:type="dxa"/>
            <w:tcBorders>
              <w:top w:val="single" w:sz="4" w:space="0" w:color="auto"/>
              <w:left w:val="single" w:sz="4" w:space="0" w:color="auto"/>
              <w:bottom w:val="single" w:sz="4" w:space="0" w:color="auto"/>
              <w:right w:val="single" w:sz="4" w:space="0" w:color="auto"/>
            </w:tcBorders>
            <w:vAlign w:val="center"/>
          </w:tcPr>
          <w:p w14:paraId="1D527D4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47.46</w:t>
            </w:r>
          </w:p>
        </w:tc>
        <w:tc>
          <w:tcPr>
            <w:tcW w:w="2300" w:type="dxa"/>
            <w:tcBorders>
              <w:top w:val="single" w:sz="4" w:space="0" w:color="auto"/>
              <w:left w:val="single" w:sz="4" w:space="0" w:color="auto"/>
              <w:bottom w:val="single" w:sz="4" w:space="0" w:color="auto"/>
              <w:right w:val="single" w:sz="4" w:space="0" w:color="auto"/>
            </w:tcBorders>
            <w:vAlign w:val="center"/>
          </w:tcPr>
          <w:p w14:paraId="009BE5B5"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c>
          <w:tcPr>
            <w:tcW w:w="1000" w:type="dxa"/>
            <w:vMerge/>
            <w:tcBorders>
              <w:top w:val="single" w:sz="4" w:space="0" w:color="auto"/>
              <w:left w:val="single" w:sz="4" w:space="0" w:color="auto"/>
              <w:bottom w:val="single" w:sz="4" w:space="0" w:color="auto"/>
              <w:right w:val="single" w:sz="4" w:space="0" w:color="auto"/>
            </w:tcBorders>
            <w:vAlign w:val="center"/>
          </w:tcPr>
          <w:p w14:paraId="77C801FB" w14:textId="77777777" w:rsidR="00000000" w:rsidRDefault="00000000">
            <w:pPr>
              <w:spacing w:before="25" w:after="25"/>
              <w:jc w:val="center"/>
              <w:rPr>
                <w:rFonts w:ascii="宋体" w:eastAsia="宋体" w:cs="宋体"/>
                <w:sz w:val="20"/>
                <w:szCs w:val="20"/>
              </w:rPr>
            </w:pPr>
          </w:p>
        </w:tc>
      </w:tr>
      <w:tr w:rsidR="00000000" w14:paraId="38D4B738" w14:textId="77777777">
        <w:tblPrEx>
          <w:tblCellMar>
            <w:top w:w="0" w:type="dxa"/>
            <w:bottom w:w="0" w:type="dxa"/>
          </w:tblCellMar>
        </w:tblPrEx>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6FC41104" w14:textId="77777777" w:rsidR="00000000" w:rsidRDefault="00000000">
            <w:pPr>
              <w:spacing w:before="25" w:after="25"/>
              <w:jc w:val="center"/>
              <w:rPr>
                <w:rFonts w:ascii="宋体" w:eastAsia="宋体" w:cs="宋体"/>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4FCDAEC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默认内门</w:t>
            </w:r>
          </w:p>
        </w:tc>
        <w:tc>
          <w:tcPr>
            <w:tcW w:w="2500" w:type="dxa"/>
            <w:tcBorders>
              <w:top w:val="single" w:sz="4" w:space="0" w:color="auto"/>
              <w:left w:val="single" w:sz="4" w:space="0" w:color="auto"/>
              <w:bottom w:val="single" w:sz="4" w:space="0" w:color="auto"/>
              <w:right w:val="single" w:sz="4" w:space="0" w:color="auto"/>
            </w:tcBorders>
            <w:vAlign w:val="center"/>
          </w:tcPr>
          <w:p w14:paraId="20B5F5F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47.46</w:t>
            </w:r>
          </w:p>
        </w:tc>
        <w:tc>
          <w:tcPr>
            <w:tcW w:w="2300" w:type="dxa"/>
            <w:tcBorders>
              <w:top w:val="single" w:sz="4" w:space="0" w:color="auto"/>
              <w:left w:val="single" w:sz="4" w:space="0" w:color="auto"/>
              <w:bottom w:val="single" w:sz="4" w:space="0" w:color="auto"/>
              <w:right w:val="single" w:sz="4" w:space="0" w:color="auto"/>
            </w:tcBorders>
            <w:vAlign w:val="center"/>
          </w:tcPr>
          <w:p w14:paraId="7FA99BA8"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c>
          <w:tcPr>
            <w:tcW w:w="1000" w:type="dxa"/>
            <w:vMerge/>
            <w:tcBorders>
              <w:top w:val="single" w:sz="4" w:space="0" w:color="auto"/>
              <w:left w:val="single" w:sz="4" w:space="0" w:color="auto"/>
              <w:bottom w:val="single" w:sz="4" w:space="0" w:color="auto"/>
              <w:right w:val="single" w:sz="4" w:space="0" w:color="auto"/>
            </w:tcBorders>
            <w:vAlign w:val="center"/>
          </w:tcPr>
          <w:p w14:paraId="28C56C33" w14:textId="77777777" w:rsidR="00000000" w:rsidRDefault="00000000">
            <w:pPr>
              <w:spacing w:before="25" w:after="25"/>
              <w:jc w:val="center"/>
              <w:rPr>
                <w:rFonts w:ascii="宋体" w:eastAsia="宋体" w:cs="宋体"/>
                <w:sz w:val="20"/>
                <w:szCs w:val="20"/>
              </w:rPr>
            </w:pPr>
          </w:p>
        </w:tc>
      </w:tr>
      <w:tr w:rsidR="00000000" w14:paraId="197414F1"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5385BF40"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楼板</w:t>
            </w:r>
          </w:p>
        </w:tc>
        <w:tc>
          <w:tcPr>
            <w:tcW w:w="1500" w:type="dxa"/>
            <w:tcBorders>
              <w:top w:val="single" w:sz="4" w:space="0" w:color="auto"/>
              <w:left w:val="single" w:sz="4" w:space="0" w:color="auto"/>
              <w:bottom w:val="single" w:sz="4" w:space="0" w:color="auto"/>
              <w:right w:val="single" w:sz="4" w:space="0" w:color="auto"/>
            </w:tcBorders>
            <w:vAlign w:val="center"/>
          </w:tcPr>
          <w:p w14:paraId="4D06E745"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默认层间楼板</w:t>
            </w:r>
          </w:p>
        </w:tc>
        <w:tc>
          <w:tcPr>
            <w:tcW w:w="2500" w:type="dxa"/>
            <w:tcBorders>
              <w:top w:val="single" w:sz="4" w:space="0" w:color="auto"/>
              <w:left w:val="single" w:sz="4" w:space="0" w:color="auto"/>
              <w:bottom w:val="single" w:sz="4" w:space="0" w:color="auto"/>
              <w:right w:val="single" w:sz="4" w:space="0" w:color="auto"/>
            </w:tcBorders>
            <w:vAlign w:val="center"/>
          </w:tcPr>
          <w:p w14:paraId="1CE326EC"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56.99</w:t>
            </w:r>
          </w:p>
        </w:tc>
        <w:tc>
          <w:tcPr>
            <w:tcW w:w="2300" w:type="dxa"/>
            <w:tcBorders>
              <w:top w:val="single" w:sz="4" w:space="0" w:color="auto"/>
              <w:left w:val="single" w:sz="4" w:space="0" w:color="auto"/>
              <w:bottom w:val="single" w:sz="4" w:space="0" w:color="auto"/>
              <w:right w:val="single" w:sz="4" w:space="0" w:color="auto"/>
            </w:tcBorders>
            <w:vAlign w:val="center"/>
          </w:tcPr>
          <w:p w14:paraId="5158F1F1"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达到低限要求</w:t>
            </w:r>
          </w:p>
        </w:tc>
        <w:tc>
          <w:tcPr>
            <w:tcW w:w="1000" w:type="dxa"/>
            <w:vMerge/>
            <w:tcBorders>
              <w:top w:val="single" w:sz="4" w:space="0" w:color="auto"/>
              <w:left w:val="single" w:sz="4" w:space="0" w:color="auto"/>
              <w:bottom w:val="single" w:sz="4" w:space="0" w:color="auto"/>
              <w:right w:val="single" w:sz="4" w:space="0" w:color="auto"/>
            </w:tcBorders>
            <w:vAlign w:val="center"/>
          </w:tcPr>
          <w:p w14:paraId="5C468BF5" w14:textId="77777777" w:rsidR="00000000" w:rsidRDefault="00000000">
            <w:pPr>
              <w:spacing w:before="25" w:after="25"/>
              <w:jc w:val="center"/>
              <w:rPr>
                <w:rFonts w:ascii="宋体" w:eastAsia="宋体" w:cs="宋体"/>
                <w:sz w:val="20"/>
                <w:szCs w:val="20"/>
              </w:rPr>
            </w:pPr>
          </w:p>
        </w:tc>
      </w:tr>
    </w:tbl>
    <w:p w14:paraId="15541A59" w14:textId="77777777" w:rsidR="00000000" w:rsidRDefault="00000000">
      <w:pPr>
        <w:spacing w:before="60" w:after="20"/>
        <w:jc w:val="center"/>
        <w:rPr>
          <w:rFonts w:ascii="宋体" w:eastAsia="宋体" w:cs="宋体"/>
          <w:sz w:val="20"/>
          <w:szCs w:val="20"/>
        </w:rPr>
      </w:pPr>
      <w:r>
        <w:rPr>
          <w:rFonts w:ascii="宋体" w:eastAsia="宋体" w:cs="宋体" w:hint="eastAsia"/>
          <w:sz w:val="20"/>
          <w:szCs w:val="20"/>
        </w:rPr>
        <w:t>表</w:t>
      </w:r>
      <w:r>
        <w:rPr>
          <w:rFonts w:eastAsia="宋体"/>
          <w:sz w:val="20"/>
          <w:szCs w:val="20"/>
        </w:rPr>
        <w:t xml:space="preserve">18 </w:t>
      </w:r>
      <w:r>
        <w:rPr>
          <w:rFonts w:ascii="宋体" w:eastAsia="宋体" w:cs="宋体" w:hint="eastAsia"/>
          <w:sz w:val="20"/>
          <w:szCs w:val="20"/>
        </w:rPr>
        <w:t>撞击声隔声结果统计表</w:t>
      </w:r>
    </w:p>
    <w:tbl>
      <w:tblPr>
        <w:tblW w:w="0" w:type="auto"/>
        <w:jc w:val="center"/>
        <w:tblLayout w:type="fixed"/>
        <w:tblCellMar>
          <w:left w:w="100" w:type="dxa"/>
          <w:right w:w="100" w:type="dxa"/>
        </w:tblCellMar>
        <w:tblLook w:val="0000" w:firstRow="0" w:lastRow="0" w:firstColumn="0" w:lastColumn="0" w:noHBand="0" w:noVBand="0"/>
      </w:tblPr>
      <w:tblGrid>
        <w:gridCol w:w="1200"/>
        <w:gridCol w:w="1500"/>
        <w:gridCol w:w="2500"/>
        <w:gridCol w:w="2300"/>
        <w:gridCol w:w="1000"/>
      </w:tblGrid>
      <w:tr w:rsidR="00000000" w14:paraId="358310E6"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14:paraId="56839608"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构件</w:t>
            </w: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14:paraId="111F989C"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构造</w:t>
            </w:r>
          </w:p>
        </w:tc>
        <w:tc>
          <w:tcPr>
            <w:tcW w:w="2500" w:type="dxa"/>
            <w:tcBorders>
              <w:top w:val="single" w:sz="4" w:space="0" w:color="auto"/>
              <w:left w:val="single" w:sz="4" w:space="0" w:color="auto"/>
              <w:bottom w:val="single" w:sz="4" w:space="0" w:color="auto"/>
              <w:right w:val="single" w:sz="4" w:space="0" w:color="auto"/>
            </w:tcBorders>
            <w:shd w:val="clear" w:color="auto" w:fill="AFAFAF"/>
            <w:vAlign w:val="center"/>
          </w:tcPr>
          <w:p w14:paraId="042E5B23"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计权标准化撞击声压级</w:t>
            </w:r>
          </w:p>
        </w:tc>
        <w:tc>
          <w:tcPr>
            <w:tcW w:w="2300" w:type="dxa"/>
            <w:tcBorders>
              <w:top w:val="single" w:sz="4" w:space="0" w:color="auto"/>
              <w:left w:val="single" w:sz="4" w:space="0" w:color="auto"/>
              <w:bottom w:val="single" w:sz="4" w:space="0" w:color="auto"/>
              <w:right w:val="single" w:sz="4" w:space="0" w:color="auto"/>
            </w:tcBorders>
            <w:shd w:val="clear" w:color="auto" w:fill="AFAFAF"/>
            <w:vAlign w:val="center"/>
          </w:tcPr>
          <w:p w14:paraId="016B059E"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 xml:space="preserve">达标情况 </w:t>
            </w:r>
          </w:p>
        </w:tc>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14:paraId="01C31ED9" w14:textId="77777777" w:rsidR="00000000" w:rsidRDefault="00000000">
            <w:pPr>
              <w:spacing w:before="25" w:after="25"/>
              <w:jc w:val="center"/>
              <w:rPr>
                <w:rFonts w:ascii="宋体" w:eastAsia="宋体" w:cs="宋体"/>
                <w:b/>
                <w:bCs/>
                <w:sz w:val="20"/>
                <w:szCs w:val="20"/>
              </w:rPr>
            </w:pPr>
            <w:r>
              <w:rPr>
                <w:rFonts w:ascii="宋体" w:eastAsia="宋体" w:cs="宋体" w:hint="eastAsia"/>
                <w:b/>
                <w:bCs/>
                <w:sz w:val="20"/>
                <w:szCs w:val="20"/>
              </w:rPr>
              <w:t>得分</w:t>
            </w:r>
          </w:p>
        </w:tc>
      </w:tr>
      <w:tr w:rsidR="00000000" w14:paraId="405880DD" w14:textId="77777777">
        <w:tblPrEx>
          <w:tblCellMar>
            <w:top w:w="0" w:type="dxa"/>
            <w:bottom w:w="0" w:type="dxa"/>
          </w:tblCellMar>
        </w:tblPrEx>
        <w:trPr>
          <w:jc w:val="center"/>
        </w:trPr>
        <w:tc>
          <w:tcPr>
            <w:tcW w:w="1200" w:type="dxa"/>
            <w:tcBorders>
              <w:top w:val="single" w:sz="4" w:space="0" w:color="auto"/>
              <w:left w:val="single" w:sz="4" w:space="0" w:color="auto"/>
              <w:bottom w:val="single" w:sz="4" w:space="0" w:color="auto"/>
              <w:right w:val="single" w:sz="4" w:space="0" w:color="auto"/>
            </w:tcBorders>
            <w:vAlign w:val="center"/>
          </w:tcPr>
          <w:p w14:paraId="002C1106"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楼板</w:t>
            </w:r>
          </w:p>
        </w:tc>
        <w:tc>
          <w:tcPr>
            <w:tcW w:w="1500" w:type="dxa"/>
            <w:tcBorders>
              <w:top w:val="single" w:sz="4" w:space="0" w:color="auto"/>
              <w:left w:val="single" w:sz="4" w:space="0" w:color="auto"/>
              <w:bottom w:val="single" w:sz="4" w:space="0" w:color="auto"/>
              <w:right w:val="single" w:sz="4" w:space="0" w:color="auto"/>
            </w:tcBorders>
            <w:vAlign w:val="center"/>
          </w:tcPr>
          <w:p w14:paraId="3595C6A8"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默认层间楼板</w:t>
            </w:r>
          </w:p>
        </w:tc>
        <w:tc>
          <w:tcPr>
            <w:tcW w:w="2500" w:type="dxa"/>
            <w:tcBorders>
              <w:top w:val="single" w:sz="4" w:space="0" w:color="auto"/>
              <w:left w:val="single" w:sz="4" w:space="0" w:color="auto"/>
              <w:bottom w:val="single" w:sz="4" w:space="0" w:color="auto"/>
              <w:right w:val="single" w:sz="4" w:space="0" w:color="auto"/>
            </w:tcBorders>
            <w:vAlign w:val="center"/>
          </w:tcPr>
          <w:p w14:paraId="4DF2ECB4"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40.00</w:t>
            </w:r>
          </w:p>
        </w:tc>
        <w:tc>
          <w:tcPr>
            <w:tcW w:w="2300" w:type="dxa"/>
            <w:tcBorders>
              <w:top w:val="single" w:sz="4" w:space="0" w:color="auto"/>
              <w:left w:val="single" w:sz="4" w:space="0" w:color="auto"/>
              <w:bottom w:val="single" w:sz="4" w:space="0" w:color="auto"/>
              <w:right w:val="single" w:sz="4" w:space="0" w:color="auto"/>
            </w:tcBorders>
            <w:vAlign w:val="center"/>
          </w:tcPr>
          <w:p w14:paraId="7B6F9D2A"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达到高限要求</w:t>
            </w:r>
          </w:p>
        </w:tc>
        <w:tc>
          <w:tcPr>
            <w:tcW w:w="1000" w:type="dxa"/>
            <w:tcBorders>
              <w:top w:val="single" w:sz="4" w:space="0" w:color="auto"/>
              <w:left w:val="single" w:sz="4" w:space="0" w:color="auto"/>
              <w:bottom w:val="single" w:sz="4" w:space="0" w:color="auto"/>
              <w:right w:val="single" w:sz="4" w:space="0" w:color="auto"/>
            </w:tcBorders>
            <w:vAlign w:val="center"/>
          </w:tcPr>
          <w:p w14:paraId="03ED440E" w14:textId="77777777" w:rsidR="00000000" w:rsidRDefault="00000000">
            <w:pPr>
              <w:spacing w:before="25" w:after="25"/>
              <w:jc w:val="center"/>
              <w:rPr>
                <w:rFonts w:ascii="宋体" w:eastAsia="宋体" w:cs="宋体"/>
                <w:sz w:val="20"/>
                <w:szCs w:val="20"/>
              </w:rPr>
            </w:pPr>
            <w:r>
              <w:rPr>
                <w:rFonts w:ascii="宋体" w:eastAsia="宋体" w:cs="宋体" w:hint="eastAsia"/>
                <w:sz w:val="20"/>
                <w:szCs w:val="20"/>
              </w:rPr>
              <w:t>5</w:t>
            </w:r>
          </w:p>
        </w:tc>
      </w:tr>
    </w:tbl>
    <w:p w14:paraId="1E546578"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通过对本项目进行建筑构件隔声计算分析，针对《绿色建筑评价标准》GB/T 50378-2019的达标情况如下：</w:t>
      </w:r>
    </w:p>
    <w:p w14:paraId="26C57580"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所有构件的空气声隔声性能均满足《民用建筑隔声设计规范》GB 50118中的低限限值要求，达到了《绿色建筑评价标准》GB/T 50378-2019中5.1.4条第2款控制项的要求；但未达到5.2.7条评分项的要求。</w:t>
      </w:r>
    </w:p>
    <w:p w14:paraId="00397F3A"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 xml:space="preserve">所有构件的撞击声隔声性能均满足《民用建筑隔声设计规范》GB 50118中的高限限值的要求，达到了《绿色建筑评价标准》GB/T 50378-2019中5.1.4条第2款控制项的要求；也达到了5.2.7条评分项第2款的要求，得5分。 </w:t>
      </w:r>
    </w:p>
    <w:p w14:paraId="38D291BD" w14:textId="77777777" w:rsidR="00000000" w:rsidRDefault="00000000">
      <w:pPr>
        <w:spacing w:line="400" w:lineRule="atLeast"/>
        <w:ind w:firstLine="420"/>
        <w:jc w:val="both"/>
        <w:rPr>
          <w:rFonts w:ascii="微软雅黑" w:eastAsia="微软雅黑" w:cs="微软雅黑"/>
          <w:sz w:val="21"/>
          <w:szCs w:val="21"/>
        </w:rPr>
      </w:pPr>
      <w:r>
        <w:rPr>
          <w:rFonts w:ascii="微软雅黑" w:eastAsia="微软雅黑" w:cs="微软雅黑" w:hint="eastAsia"/>
          <w:sz w:val="21"/>
          <w:szCs w:val="21"/>
        </w:rPr>
        <w:t>综上所述，本项目达到了《绿色建筑评价标准》GB/T 50378-2019中5.1.4条第2款控制项的要求；也达到了5.2.7条评分项的要求，总得分为5分。</w:t>
      </w:r>
    </w:p>
    <w:p w14:paraId="012DC5F3" w14:textId="77777777" w:rsidR="001C18D8" w:rsidRDefault="001C18D8">
      <w:pPr>
        <w:spacing w:line="400" w:lineRule="atLeast"/>
        <w:ind w:firstLine="420"/>
        <w:jc w:val="both"/>
        <w:rPr>
          <w:rFonts w:ascii="微软雅黑" w:eastAsia="微软雅黑" w:cs="微软雅黑"/>
          <w:sz w:val="21"/>
          <w:szCs w:val="21"/>
        </w:rPr>
      </w:pPr>
    </w:p>
    <w:sectPr w:rsidR="001C18D8">
      <w:headerReference w:type="default" r:id="rId18"/>
      <w:footerReference w:type="default" r:id="rId19"/>
      <w:pgSz w:w="11905" w:h="16837"/>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2536" w14:textId="77777777" w:rsidR="001C18D8" w:rsidRDefault="001C18D8">
      <w:r>
        <w:separator/>
      </w:r>
    </w:p>
  </w:endnote>
  <w:endnote w:type="continuationSeparator" w:id="0">
    <w:p w14:paraId="261BEE2D" w14:textId="77777777" w:rsidR="001C18D8" w:rsidRDefault="001C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89C5"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7D3" w14:textId="209144C8" w:rsidR="00000000" w:rsidRDefault="00000000">
    <w:pPr>
      <w:tabs>
        <w:tab w:val="center" w:pos="4152"/>
        <w:tab w:val="right" w:pos="8305"/>
      </w:tabs>
      <w:rPr>
        <w:rFonts w:ascii="宋体" w:eastAsia="宋体" w:cs="宋体"/>
        <w:sz w:val="18"/>
        <w:szCs w:val="18"/>
      </w:rPr>
    </w:pPr>
    <w:hyperlink r:id="rId1" w:history="1">
      <w:r>
        <w:rPr>
          <w:rFonts w:eastAsia="宋体"/>
          <w:color w:val="0000FF"/>
          <w:sz w:val="18"/>
          <w:szCs w:val="18"/>
          <w:u w:val="single"/>
        </w:rPr>
        <w:t>http://www.pkpm.cn</w:t>
      </w:r>
    </w:hyperlink>
    <w:r>
      <w:rPr>
        <w:rFonts w:ascii="宋体" w:eastAsia="宋体" w:cs="宋体"/>
        <w:sz w:val="18"/>
        <w:szCs w:val="18"/>
      </w:rPr>
      <w:tab/>
    </w:r>
    <w:r>
      <w:rPr>
        <w:rFonts w:ascii="宋体" w:eastAsia="宋体" w:cs="宋体" w:hint="eastAsia"/>
        <w:sz w:val="18"/>
        <w:szCs w:val="18"/>
      </w:rPr>
      <w:t>第</w:t>
    </w:r>
    <w:r>
      <w:rPr>
        <w:rFonts w:eastAsia="宋体"/>
        <w:sz w:val="18"/>
        <w:szCs w:val="18"/>
      </w:rPr>
      <w:fldChar w:fldCharType="begin"/>
    </w:r>
    <w:r>
      <w:rPr>
        <w:rFonts w:eastAsia="宋体"/>
        <w:sz w:val="18"/>
        <w:szCs w:val="18"/>
      </w:rPr>
      <w:instrText>PAGE</w:instrText>
    </w:r>
    <w:r>
      <w:rPr>
        <w:rFonts w:eastAsia="宋体"/>
        <w:sz w:val="18"/>
        <w:szCs w:val="18"/>
      </w:rPr>
      <w:fldChar w:fldCharType="separate"/>
    </w:r>
    <w:r>
      <w:rPr>
        <w:rFonts w:eastAsia="宋体"/>
        <w:sz w:val="18"/>
        <w:szCs w:val="18"/>
      </w:rPr>
      <w:t>1</w:t>
    </w:r>
    <w:r>
      <w:rPr>
        <w:rFonts w:eastAsia="宋体"/>
        <w:sz w:val="18"/>
        <w:szCs w:val="18"/>
      </w:rPr>
      <w:fldChar w:fldCharType="end"/>
    </w:r>
    <w:r>
      <w:rPr>
        <w:rFonts w:ascii="宋体" w:eastAsia="宋体" w:cs="宋体" w:hint="eastAsia"/>
        <w:sz w:val="18"/>
        <w:szCs w:val="18"/>
      </w:rPr>
      <w:t>页 共</w:t>
    </w:r>
    <w:r>
      <w:rPr>
        <w:rFonts w:eastAsia="宋体"/>
        <w:sz w:val="18"/>
        <w:szCs w:val="18"/>
      </w:rPr>
      <w:fldChar w:fldCharType="begin"/>
    </w:r>
    <w:r>
      <w:rPr>
        <w:rFonts w:eastAsia="宋体"/>
        <w:sz w:val="18"/>
        <w:szCs w:val="18"/>
      </w:rPr>
      <w:instrText>SECTIONPAGES</w:instrText>
    </w:r>
    <w:r>
      <w:rPr>
        <w:rFonts w:eastAsia="宋体"/>
        <w:sz w:val="18"/>
        <w:szCs w:val="18"/>
      </w:rPr>
      <w:fldChar w:fldCharType="separate"/>
    </w:r>
    <w:r w:rsidR="00C92DA5">
      <w:rPr>
        <w:rFonts w:eastAsia="宋体"/>
        <w:noProof/>
        <w:sz w:val="18"/>
        <w:szCs w:val="18"/>
      </w:rPr>
      <w:t>15</w:t>
    </w:r>
    <w:r>
      <w:rPr>
        <w:rFonts w:eastAsia="宋体"/>
        <w:sz w:val="18"/>
        <w:szCs w:val="18"/>
      </w:rPr>
      <w:fldChar w:fldCharType="end"/>
    </w:r>
    <w:r>
      <w:rPr>
        <w:rFonts w:ascii="宋体" w:eastAsia="宋体" w:cs="宋体" w:hint="eastAsia"/>
        <w:sz w:val="18"/>
        <w:szCs w:val="18"/>
      </w:rPr>
      <w:t>页</w:t>
    </w:r>
    <w:r>
      <w:rPr>
        <w:rFonts w:ascii="宋体" w:eastAsia="宋体" w:cs="宋体"/>
        <w:sz w:val="18"/>
        <w:szCs w:val="18"/>
      </w:rPr>
      <w:tab/>
    </w:r>
    <w:r>
      <w:rPr>
        <w:rFonts w:eastAsia="宋体"/>
        <w:sz w:val="18"/>
        <w:szCs w:val="18"/>
      </w:rPr>
      <w:t>20240830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5C6C" w14:textId="77777777" w:rsidR="001C18D8" w:rsidRDefault="001C18D8">
      <w:r>
        <w:separator/>
      </w:r>
    </w:p>
  </w:footnote>
  <w:footnote w:type="continuationSeparator" w:id="0">
    <w:p w14:paraId="70EF109D" w14:textId="77777777" w:rsidR="001C18D8" w:rsidRDefault="001C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26B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2A87" w14:textId="68889532" w:rsidR="00000000" w:rsidRDefault="00C92DA5">
    <w:pPr>
      <w:pBdr>
        <w:bottom w:val="single" w:sz="6" w:space="0" w:color="auto"/>
      </w:pBdr>
      <w:tabs>
        <w:tab w:val="right" w:pos="8305"/>
      </w:tabs>
      <w:rPr>
        <w:rFonts w:ascii="宋体" w:eastAsia="宋体" w:cs="宋体"/>
        <w:sz w:val="18"/>
        <w:szCs w:val="18"/>
      </w:rPr>
    </w:pPr>
    <w:r>
      <w:rPr>
        <w:rFonts w:ascii="宋体" w:eastAsia="宋体" w:cs="宋体" w:hint="eastAsia"/>
        <w:noProof/>
        <w:sz w:val="18"/>
        <w:szCs w:val="18"/>
      </w:rPr>
      <w:drawing>
        <wp:inline distT="0" distB="0" distL="0" distR="0" wp14:anchorId="5E1DDE2E" wp14:editId="413D523C">
          <wp:extent cx="673100" cy="15811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158115"/>
                  </a:xfrm>
                  <a:prstGeom prst="rect">
                    <a:avLst/>
                  </a:prstGeom>
                  <a:noFill/>
                  <a:ln>
                    <a:noFill/>
                  </a:ln>
                </pic:spPr>
              </pic:pic>
            </a:graphicData>
          </a:graphic>
        </wp:inline>
      </w:drawing>
    </w:r>
    <w:r w:rsidR="00000000">
      <w:rPr>
        <w:rFonts w:ascii="宋体" w:eastAsia="宋体" w:cs="宋体"/>
        <w:sz w:val="18"/>
        <w:szCs w:val="18"/>
      </w:rPr>
      <w:tab/>
    </w:r>
    <w:r w:rsidR="00000000">
      <w:rPr>
        <w:rFonts w:ascii="宋体" w:eastAsia="宋体" w:cs="宋体" w:hint="eastAsia"/>
        <w:sz w:val="18"/>
        <w:szCs w:val="18"/>
      </w:rPr>
      <w:t>社区服务中心构件隔声性能分析报告书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12"/>
    <w:rsid w:val="001C18D8"/>
    <w:rsid w:val="008C4051"/>
    <w:rsid w:val="00C92DA5"/>
    <w:rsid w:val="00D8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6AB6B"/>
  <w14:defaultImageDpi w14:val="0"/>
  <w15:docId w15:val="{93070772-D8D1-479F-A117-52525A46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kern w:val="0"/>
      <w:sz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Times New Roman" w:hAnsi="Times New Roman" w:cs="Times New Roman"/>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semiHidden/>
    <w:rPr>
      <w:rFonts w:ascii="Times New Roman" w:hAnsi="Times New Roman"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hyperlink" Target="http://www.pkp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8617735317289</dc:creator>
  <cp:keywords/>
  <dc:description/>
  <cp:lastModifiedBy>8617735317289</cp:lastModifiedBy>
  <cp:revision>2</cp:revision>
  <dcterms:created xsi:type="dcterms:W3CDTF">2024-12-23T05:56:00Z</dcterms:created>
  <dcterms:modified xsi:type="dcterms:W3CDTF">2024-12-23T05:56:00Z</dcterms:modified>
</cp:coreProperties>
</file>