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零碳优化，绿意勃发——严寒地区公共建筑绿色低碳改造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报告日期：2025年3月4日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项目名称：零碳优化，绿意勃发——严寒地区公共建筑绿色低碳改造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应用比例40%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全寿命期单位建筑面积碳排放强为20kgCO2/（m2·a）减碳率20%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891.0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89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