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rPr>
              <w:t>BKB70068</w:t>
            </w:r>
            <w:bookmarkStart w:id="87" w:name="_GoBack"/>
            <w:bookmarkEnd w:id="8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2024年12月26日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T17734800038</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_Toc30314 </w:instrText>
      </w:r>
      <w:r>
        <w:rPr>
          <w:rFonts w:ascii="宋体" w:hAnsi="宋体"/>
          <w:caps/>
        </w:rPr>
        <w:fldChar w:fldCharType="separate"/>
      </w:r>
      <w:r>
        <w:t xml:space="preserve">1 </w:t>
      </w:r>
      <w:r>
        <w:rPr>
          <w:rFonts w:hint="eastAsia"/>
        </w:rPr>
        <w:t>建筑概况</w:t>
      </w:r>
      <w:r>
        <w:tab/>
      </w:r>
      <w:r>
        <w:fldChar w:fldCharType="begin"/>
      </w:r>
      <w:r>
        <w:instrText xml:space="preserve"> PAGEREF _Toc30314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_Toc3411 </w:instrText>
      </w:r>
      <w:r>
        <w:fldChar w:fldCharType="separate"/>
      </w:r>
      <w:r>
        <w:t xml:space="preserve">2 </w:t>
      </w:r>
      <w:r>
        <w:rPr>
          <w:rFonts w:hint="eastAsia"/>
        </w:rPr>
        <w:t>评价依据</w:t>
      </w:r>
      <w:r>
        <w:tab/>
      </w:r>
      <w:r>
        <w:fldChar w:fldCharType="begin"/>
      </w:r>
      <w:r>
        <w:instrText xml:space="preserve"> PAGEREF _Toc3411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_Toc485 </w:instrText>
      </w:r>
      <w:r>
        <w:fldChar w:fldCharType="separate"/>
      </w:r>
      <w:r>
        <w:t xml:space="preserve">3 </w:t>
      </w:r>
      <w:r>
        <w:rPr>
          <w:rFonts w:hint="eastAsia"/>
        </w:rPr>
        <w:t>标准</w:t>
      </w:r>
      <w:r>
        <w:t>要求</w:t>
      </w:r>
      <w:r>
        <w:tab/>
      </w:r>
      <w:r>
        <w:fldChar w:fldCharType="begin"/>
      </w:r>
      <w:r>
        <w:instrText xml:space="preserve"> PAGEREF _Toc485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_Toc12344 </w:instrText>
      </w:r>
      <w:r>
        <w:fldChar w:fldCharType="separate"/>
      </w:r>
      <w:r>
        <w:rPr>
          <w:kern w:val="2"/>
        </w:rPr>
        <w:t xml:space="preserve">4 </w:t>
      </w:r>
      <w:r>
        <w:rPr>
          <w:rFonts w:hint="eastAsia"/>
          <w:kern w:val="2"/>
        </w:rPr>
        <w:t>计算原理</w:t>
      </w:r>
      <w:r>
        <w:tab/>
      </w:r>
      <w:r>
        <w:fldChar w:fldCharType="begin"/>
      </w:r>
      <w:r>
        <w:instrText xml:space="preserve"> PAGEREF _Toc12344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_Toc6487 </w:instrText>
      </w:r>
      <w:r>
        <w:fldChar w:fldCharType="separate"/>
      </w:r>
      <w:r>
        <w:t xml:space="preserve">4.1 </w:t>
      </w:r>
      <w:r>
        <w:rPr>
          <w:rFonts w:hint="eastAsia"/>
        </w:rPr>
        <w:t>典型</w:t>
      </w:r>
      <w:r>
        <w:t>房间确定</w:t>
      </w:r>
      <w:r>
        <w:tab/>
      </w:r>
      <w:r>
        <w:fldChar w:fldCharType="begin"/>
      </w:r>
      <w:r>
        <w:instrText xml:space="preserve"> PAGEREF _Toc6487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_Toc31011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_Toc31011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_Toc25072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_Toc25072 \h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_Toc16875 </w:instrText>
      </w:r>
      <w:r>
        <w:fldChar w:fldCharType="separate"/>
      </w:r>
      <w:r>
        <w:t xml:space="preserve">5.1 </w:t>
      </w:r>
      <w:r>
        <w:rPr>
          <w:rFonts w:hint="eastAsia"/>
        </w:rPr>
        <w:t>室外边界噪声</w:t>
      </w:r>
      <w:r>
        <w:tab/>
      </w:r>
      <w:r>
        <w:fldChar w:fldCharType="begin"/>
      </w:r>
      <w:r>
        <w:instrText xml:space="preserve"> PAGEREF _Toc16875 \h </w:instrText>
      </w:r>
      <w:r>
        <w:fldChar w:fldCharType="separate"/>
      </w:r>
      <w:r>
        <w:t>2</w:t>
      </w:r>
      <w:r>
        <w:fldChar w:fldCharType="end"/>
      </w:r>
      <w:r>
        <w:fldChar w:fldCharType="end"/>
      </w:r>
    </w:p>
    <w:p>
      <w:pPr>
        <w:pStyle w:val="14"/>
        <w:tabs>
          <w:tab w:val="right" w:leader="dot" w:pos="9070"/>
          <w:tab w:val="clear" w:pos="900"/>
          <w:tab w:val="clear" w:pos="9360"/>
        </w:tabs>
      </w:pPr>
      <w:r>
        <w:fldChar w:fldCharType="begin"/>
      </w:r>
      <w:r>
        <w:instrText xml:space="preserve"> HYPERLINK \l _Toc31240 </w:instrText>
      </w:r>
      <w:r>
        <w:fldChar w:fldCharType="separate"/>
      </w:r>
      <w:r>
        <w:t xml:space="preserve">5.1.1 </w:t>
      </w:r>
      <w:r>
        <w:rPr>
          <w:rFonts w:hint="eastAsia"/>
        </w:rPr>
        <w:t>环境</w:t>
      </w:r>
      <w:r>
        <w:t>噪声分析</w:t>
      </w:r>
      <w:r>
        <w:tab/>
      </w:r>
      <w:r>
        <w:fldChar w:fldCharType="begin"/>
      </w:r>
      <w:r>
        <w:instrText xml:space="preserve"> PAGEREF _Toc31240 \h </w:instrText>
      </w:r>
      <w:r>
        <w:fldChar w:fldCharType="separate"/>
      </w:r>
      <w:r>
        <w:t>2</w:t>
      </w:r>
      <w:r>
        <w:fldChar w:fldCharType="end"/>
      </w:r>
      <w:r>
        <w:fldChar w:fldCharType="end"/>
      </w:r>
    </w:p>
    <w:p>
      <w:pPr>
        <w:pStyle w:val="14"/>
        <w:tabs>
          <w:tab w:val="right" w:leader="dot" w:pos="9070"/>
          <w:tab w:val="clear" w:pos="900"/>
          <w:tab w:val="clear" w:pos="9360"/>
        </w:tabs>
      </w:pPr>
      <w:r>
        <w:fldChar w:fldCharType="begin"/>
      </w:r>
      <w:r>
        <w:instrText xml:space="preserve"> HYPERLINK \l _Toc5106 </w:instrText>
      </w:r>
      <w:r>
        <w:fldChar w:fldCharType="separate"/>
      </w:r>
      <w:r>
        <w:t xml:space="preserve">5.1.2 </w:t>
      </w:r>
      <w:r>
        <w:rPr>
          <w:rFonts w:hint="eastAsia"/>
        </w:rPr>
        <w:t>房间</w:t>
      </w:r>
      <w:r>
        <w:t>边界噪声</w:t>
      </w:r>
      <w:r>
        <w:tab/>
      </w:r>
      <w:r>
        <w:fldChar w:fldCharType="begin"/>
      </w:r>
      <w:r>
        <w:instrText xml:space="preserve"> PAGEREF _Toc5106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_Toc24611 </w:instrText>
      </w:r>
      <w:r>
        <w:fldChar w:fldCharType="separate"/>
      </w:r>
      <w:r>
        <w:t>5.2 构件空气声隔声</w:t>
      </w:r>
      <w:r>
        <w:tab/>
      </w:r>
      <w:r>
        <w:fldChar w:fldCharType="begin"/>
      </w:r>
      <w:r>
        <w:instrText xml:space="preserve"> PAGEREF _Toc24611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_Toc19379 </w:instrText>
      </w:r>
      <w:r>
        <w:fldChar w:fldCharType="separate"/>
      </w:r>
      <w:r>
        <w:t xml:space="preserve">5.3 </w:t>
      </w:r>
      <w:r>
        <w:rPr>
          <w:rFonts w:hint="eastAsia"/>
        </w:rPr>
        <w:t>房间</w:t>
      </w:r>
      <w:r>
        <w:t>总吸声量计算</w:t>
      </w:r>
      <w:r>
        <w:tab/>
      </w:r>
      <w:r>
        <w:fldChar w:fldCharType="begin"/>
      </w:r>
      <w:r>
        <w:instrText xml:space="preserve"> PAGEREF _Toc19379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_Toc32456 </w:instrText>
      </w:r>
      <w:r>
        <w:fldChar w:fldCharType="separate"/>
      </w:r>
      <w:r>
        <w:t xml:space="preserve">5.4 </w:t>
      </w:r>
      <w:r>
        <w:rPr>
          <w:rFonts w:hint="eastAsia"/>
        </w:rPr>
        <w:t>组合墙</w:t>
      </w:r>
      <w:r>
        <w:t>空气声隔声量计算</w:t>
      </w:r>
      <w:r>
        <w:tab/>
      </w:r>
      <w:r>
        <w:fldChar w:fldCharType="begin"/>
      </w:r>
      <w:r>
        <w:instrText xml:space="preserve"> PAGEREF _Toc32456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_Toc4525 </w:instrText>
      </w:r>
      <w:r>
        <w:fldChar w:fldCharType="separate"/>
      </w:r>
      <w:r>
        <w:t xml:space="preserve">5.4.1 </w:t>
      </w:r>
      <w:r>
        <w:rPr>
          <w:rFonts w:hint="eastAsia"/>
        </w:rPr>
        <w:t>组合墙</w:t>
      </w:r>
      <w:r>
        <w:t>有效隔声量</w:t>
      </w:r>
      <w:r>
        <w:tab/>
      </w:r>
      <w:r>
        <w:fldChar w:fldCharType="begin"/>
      </w:r>
      <w:r>
        <w:instrText xml:space="preserve"> PAGEREF _Toc4525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_Toc27719 </w:instrText>
      </w:r>
      <w:r>
        <w:fldChar w:fldCharType="separate"/>
      </w:r>
      <w:r>
        <w:t xml:space="preserve">5.4.2 </w:t>
      </w:r>
      <w:r>
        <w:rPr>
          <w:rFonts w:hint="eastAsia"/>
        </w:rPr>
        <w:t>组合墙</w:t>
      </w:r>
      <w:r>
        <w:t>隔声单值评价量、频谱修正量</w:t>
      </w:r>
      <w:r>
        <w:tab/>
      </w:r>
      <w:r>
        <w:fldChar w:fldCharType="begin"/>
      </w:r>
      <w:r>
        <w:instrText xml:space="preserve"> PAGEREF _Toc27719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_Toc7051 </w:instrText>
      </w:r>
      <w:r>
        <w:fldChar w:fldCharType="separate"/>
      </w:r>
      <w:r>
        <w:t xml:space="preserve">5.4.3 </w:t>
      </w:r>
      <w:r>
        <w:rPr>
          <w:rFonts w:hint="eastAsia"/>
        </w:rPr>
        <w:t>缝隙对组合墙隔声量的影响</w:t>
      </w:r>
      <w:r>
        <w:tab/>
      </w:r>
      <w:r>
        <w:fldChar w:fldCharType="begin"/>
      </w:r>
      <w:r>
        <w:instrText xml:space="preserve"> PAGEREF _Toc7051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_Toc9654 </w:instrText>
      </w:r>
      <w:r>
        <w:fldChar w:fldCharType="separate"/>
      </w:r>
      <w:r>
        <w:t xml:space="preserve">5.4.4 </w:t>
      </w:r>
      <w:r>
        <w:rPr>
          <w:rFonts w:hint="eastAsia"/>
        </w:rPr>
        <w:t>组合墙隔声量计算过程</w:t>
      </w:r>
      <w:r>
        <w:tab/>
      </w:r>
      <w:r>
        <w:fldChar w:fldCharType="begin"/>
      </w:r>
      <w:r>
        <w:instrText xml:space="preserve"> PAGEREF _Toc9654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_Toc32708 </w:instrText>
      </w:r>
      <w:r>
        <w:fldChar w:fldCharType="separate"/>
      </w:r>
      <w:r>
        <w:t xml:space="preserve">5.5 </w:t>
      </w:r>
      <w:r>
        <w:rPr>
          <w:rFonts w:hint="eastAsia"/>
        </w:rPr>
        <w:t>室外环境噪声通过组合墙传到室内的噪声级计算</w:t>
      </w:r>
      <w:r>
        <w:tab/>
      </w:r>
      <w:r>
        <w:fldChar w:fldCharType="begin"/>
      </w:r>
      <w:r>
        <w:instrText xml:space="preserve"> PAGEREF _Toc32708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_Toc1689 </w:instrText>
      </w:r>
      <w:r>
        <w:fldChar w:fldCharType="separate"/>
      </w:r>
      <w:r>
        <w:t xml:space="preserve">5.6 </w:t>
      </w:r>
      <w:r>
        <w:rPr>
          <w:rFonts w:hint="eastAsia"/>
        </w:rPr>
        <w:t>室内声源的影响</w:t>
      </w:r>
      <w:r>
        <w:tab/>
      </w:r>
      <w:r>
        <w:fldChar w:fldCharType="begin"/>
      </w:r>
      <w:r>
        <w:instrText xml:space="preserve"> PAGEREF _Toc1689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_Toc30474 </w:instrText>
      </w:r>
      <w:r>
        <w:fldChar w:fldCharType="separate"/>
      </w:r>
      <w:r>
        <w:t xml:space="preserve">5.7 </w:t>
      </w:r>
      <w:r>
        <w:rPr>
          <w:rFonts w:hint="eastAsia"/>
        </w:rPr>
        <w:t>室内噪声级计算</w:t>
      </w:r>
      <w:r>
        <w:tab/>
      </w:r>
      <w:r>
        <w:fldChar w:fldCharType="begin"/>
      </w:r>
      <w:r>
        <w:instrText xml:space="preserve"> PAGEREF _Toc30474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_Toc2843 </w:instrText>
      </w:r>
      <w:r>
        <w:fldChar w:fldCharType="separate"/>
      </w:r>
      <w:r>
        <w:t xml:space="preserve">5.8 </w:t>
      </w:r>
      <w:r>
        <w:rPr>
          <w:rFonts w:hint="eastAsia"/>
        </w:rPr>
        <w:t>小结</w:t>
      </w:r>
      <w:r>
        <w:tab/>
      </w:r>
      <w:r>
        <w:fldChar w:fldCharType="begin"/>
      </w:r>
      <w:r>
        <w:instrText xml:space="preserve"> PAGEREF _Toc2843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_Toc561 </w:instrText>
      </w:r>
      <w:r>
        <w:fldChar w:fldCharType="separate"/>
      </w:r>
      <w:r>
        <w:rPr>
          <w:kern w:val="2"/>
        </w:rPr>
        <w:t xml:space="preserve">6 </w:t>
      </w:r>
      <w:r>
        <w:rPr>
          <w:rFonts w:hint="eastAsia"/>
          <w:kern w:val="2"/>
        </w:rPr>
        <w:t>结论</w:t>
      </w:r>
      <w:r>
        <w:tab/>
      </w:r>
      <w:r>
        <w:fldChar w:fldCharType="begin"/>
      </w:r>
      <w:r>
        <w:instrText xml:space="preserve"> PAGEREF _Toc561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_Toc6337 </w:instrText>
      </w:r>
      <w:r>
        <w:fldChar w:fldCharType="separate"/>
      </w:r>
      <w:r>
        <w:rPr>
          <w:kern w:val="2"/>
        </w:rPr>
        <w:t xml:space="preserve">7 </w:t>
      </w:r>
      <w:r>
        <w:rPr>
          <w:rFonts w:hint="eastAsia"/>
          <w:kern w:val="2"/>
        </w:rPr>
        <w:t>附录：室内噪声级详表</w:t>
      </w:r>
      <w:r>
        <w:tab/>
      </w:r>
      <w:r>
        <w:fldChar w:fldCharType="begin"/>
      </w:r>
      <w:r>
        <w:instrText xml:space="preserve"> PAGEREF _Toc6337 \h </w:instrText>
      </w:r>
      <w:r>
        <w:fldChar w:fldCharType="separate"/>
      </w:r>
      <w:r>
        <w:t>12</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30314"/>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3620</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10.8</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106</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341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
      </w:pPr>
      <w:bookmarkStart w:id="23" w:name="_Toc485"/>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12344"/>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6487"/>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31011"/>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5072"/>
      <w:r>
        <w:rPr>
          <w:rFonts w:hint="eastAsia"/>
          <w:kern w:val="2"/>
        </w:rPr>
        <w:t>计算</w:t>
      </w:r>
      <w:r>
        <w:rPr>
          <w:kern w:val="2"/>
        </w:rPr>
        <w:t>过程</w:t>
      </w:r>
      <w:bookmarkEnd w:id="29"/>
    </w:p>
    <w:p>
      <w:pPr>
        <w:pStyle w:val="4"/>
      </w:pPr>
      <w:bookmarkStart w:id="30" w:name="_Toc16875"/>
      <w:r>
        <w:rPr>
          <w:rFonts w:hint="eastAsia"/>
        </w:rPr>
        <w:t>室外边界噪声</w:t>
      </w:r>
      <w:bookmarkEnd w:id="30"/>
    </w:p>
    <w:p>
      <w:pPr>
        <w:pStyle w:val="5"/>
      </w:pPr>
      <w:bookmarkStart w:id="31" w:name="_Toc31240"/>
      <w:r>
        <w:rPr>
          <w:rFonts w:hint="eastAsia"/>
        </w:rPr>
        <w:t>环境</w:t>
      </w:r>
      <w:r>
        <w:t>噪声分析</w:t>
      </w:r>
      <w:bookmarkEnd w:id="31"/>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2" w:name="场地噪声分布俯瞰昼"/>
      <w:bookmarkEnd w:id="32"/>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3" w:name="场地噪声分布俯瞰夜"/>
      <w:bookmarkEnd w:id="33"/>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4" w:name="参评建筑边界噪声图昼间"/>
      <w:bookmarkEnd w:id="34"/>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5" w:name="参评建筑边界噪声图夜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6" w:name="_Toc5106"/>
      <w:r>
        <w:rPr>
          <w:rFonts w:hint="eastAsia"/>
        </w:rPr>
        <w:t>房间</w:t>
      </w:r>
      <w:r>
        <w:t>边界噪声</w:t>
      </w:r>
      <w:bookmarkEnd w:id="36"/>
    </w:p>
    <w:p>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1007房间,房间类型[卧室]</w:t>
      </w:r>
      <w:bookmarkEnd w:id="37"/>
      <w:r>
        <w:rPr>
          <w:rFonts w:hint="eastAsia"/>
          <w:lang w:val="en-US"/>
        </w:rPr>
        <w:t>，报告书阐述该房间室内噪声级计算过程，房间所在楼层平面图如下图所示：</w:t>
      </w:r>
    </w:p>
    <w:p>
      <w:pPr>
        <w:jc w:val="center"/>
        <w:rPr>
          <w:kern w:val="2"/>
          <w:szCs w:val="21"/>
          <w:lang w:val="en-US"/>
        </w:rPr>
      </w:pPr>
      <w:bookmarkStart w:id="38" w:name="最不利房间楼层平面图"/>
      <w:bookmarkEnd w:id="38"/>
      <w:r>
        <w:drawing>
          <wp:inline distT="0" distB="0" distL="0" distR="0">
            <wp:extent cx="5667375" cy="3171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31718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45</w:t>
      </w:r>
      <w:bookmarkEnd w:id="40"/>
      <w:r>
        <w:rPr>
          <w:b/>
          <w:lang w:val="en-US"/>
        </w:rPr>
        <w:t xml:space="preserve"> dB(A)</w:t>
      </w:r>
      <w:r>
        <w:rPr>
          <w:rFonts w:hint="eastAsia"/>
          <w:b/>
          <w:lang w:val="en-US"/>
        </w:rPr>
        <w:t>。</w:t>
      </w:r>
    </w:p>
    <w:p>
      <w:pPr>
        <w:pStyle w:val="4"/>
        <w:numPr>
          <w:ilvl w:val="1"/>
          <w:numId w:val="1"/>
        </w:numPr>
      </w:pPr>
      <w:bookmarkStart w:id="41" w:name="_Toc24611"/>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石墨聚苯板</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聚苯乙烯泡沫塑料（灰板）</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569.4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20mm＋石墨聚苯板 70mm＋钢筋混凝土 200mm＋石灰砂浆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外窗(C2421)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70系列内平开下悬铝合金窗[5Low-E+12A+5+12A+5]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rPr>
          <w:lang w:val="en-US"/>
        </w:rPr>
      </w:pPr>
      <w:bookmarkStart w:id="50" w:name="门窗隔声量"/>
      <w:bookmarkEnd w:id="50"/>
    </w:p>
    <w:p>
      <w:pPr>
        <w:pStyle w:val="4"/>
      </w:pPr>
      <w:bookmarkStart w:id="51" w:name="_Toc19379"/>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w:bookmarkStart w:id="52" w:name="_Hlk138248040"/>
            <m:sSubPr>
              <m:ctrlPr>
                <w:rPr>
                  <w:rFonts w:ascii="Cambria Math" w:hAnsi="Cambria Math"/>
                  <w:i/>
                  <w:lang w:val="en-US"/>
                </w:rPr>
              </m:ctrlPr>
            </m:sSubPr>
            <m:e>
              <m:r>
                <w:rPr>
                  <w:rFonts w:ascii="Cambria Math"/>
                  <w:lang w:val="en-US"/>
                </w:rPr>
                <m:t>A</m:t>
              </m:r>
              <m:ctrlPr>
                <w:rPr>
                  <w:rFonts w:ascii="Cambria Math" w:hAnsi="Cambria Math"/>
                  <w:i/>
                  <w:lang w:val="en-US"/>
                </w:rPr>
              </m:ctrlPr>
            </m:e>
            <m:sub>
              <m:r>
                <w:rPr>
                  <w:rFonts w:ascii="Cambria Math"/>
                  <w:lang w:val="en-US"/>
                </w:rPr>
                <m:t>j</m:t>
              </m:r>
              <m:ctrlPr>
                <w:rPr>
                  <w:rFonts w:ascii="Cambria Math" w:hAnsi="Cambria Math"/>
                  <w:i/>
                  <w:lang w:val="en-US"/>
                </w:rPr>
              </m:ctrlPr>
            </m:sub>
          </m:sSub>
          <m:r>
            <w:rPr>
              <w:rFonts w:ascii="Cambria Math"/>
              <w:lang w:val="en-US"/>
            </w:rPr>
            <m:t>=</m:t>
          </m:r>
          <m:nary>
            <m:naryPr>
              <m:chr m:val="∑"/>
              <m:ctrlPr>
                <w:rPr>
                  <w:rFonts w:ascii="Cambria Math" w:hAnsi="Cambria Math"/>
                  <w:i/>
                  <w:lang w:val="en-US"/>
                </w:rPr>
              </m:ctrlPr>
            </m:naryPr>
            <m:sub>
              <m:r>
                <w:rPr>
                  <w:rFonts w:ascii="Cambria Math"/>
                  <w:lang w:val="en-US"/>
                </w:rPr>
                <m:t>i=1</m:t>
              </m:r>
              <m:ctrlPr>
                <w:rPr>
                  <w:rFonts w:ascii="Cambria Math" w:hAnsi="Cambria Math"/>
                  <w:i/>
                  <w:lang w:val="en-US"/>
                </w:rPr>
              </m:ctrlPr>
            </m:sub>
            <m:sup>
              <m:r>
                <w:rPr>
                  <w:rFonts w:ascii="Cambria Math"/>
                  <w:lang w:val="en-US"/>
                </w:rPr>
                <m:t>n</m:t>
              </m:r>
              <m:ctrlPr>
                <w:rPr>
                  <w:rFonts w:ascii="Cambria Math" w:hAnsi="Cambria Math"/>
                  <w:i/>
                  <w:lang w:val="en-US"/>
                </w:rPr>
              </m:ctrlPr>
            </m:sup>
            <m:e>
              <m:sSub>
                <m:sSubPr>
                  <m:ctrlPr>
                    <w:rPr>
                      <w:rFonts w:ascii="Cambria Math" w:hAnsi="Cambria Math"/>
                      <w:i/>
                      <w:lang w:val="en-US"/>
                    </w:rPr>
                  </m:ctrlPr>
                </m:sSubPr>
                <m:e>
                  <m:r>
                    <w:rPr>
                      <w:rFonts w:ascii="Cambria Math"/>
                      <w:lang w:val="en-US"/>
                    </w:rPr>
                    <m:t>α</m:t>
                  </m:r>
                  <m:ctrlPr>
                    <w:rPr>
                      <w:rFonts w:ascii="Cambria Math" w:hAnsi="Cambria Math"/>
                      <w:i/>
                      <w:lang w:val="en-US"/>
                    </w:rPr>
                  </m:ctrlPr>
                </m:e>
                <m:sub>
                  <m: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w:rPr>
                      <w:rFonts w:ascii="Cambria Math"/>
                      <w:lang w:val="en-US"/>
                    </w:rPr>
                    <m:t>S</m:t>
                  </m:r>
                  <m:ctrlPr>
                    <w:rPr>
                      <w:rFonts w:ascii="Cambria Math" w:hAnsi="Cambria Math"/>
                      <w:i/>
                      <w:lang w:val="en-US"/>
                    </w:rPr>
                  </m:ctrlPr>
                </m:e>
                <m:sub>
                  <m: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57.7</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12.1</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内门(M1026)</w:t>
            </w:r>
          </w:p>
        </w:tc>
        <w:tc>
          <w:tcPr>
            <w:shd w:val="clear" w:color="auto" w:fill="E6E6E6"/>
            <w:vAlign w:val="center"/>
          </w:tcPr>
          <w:p>
            <w:pPr>
              <w:rPr>
                <w:sz w:val="21"/>
                <w:szCs w:val="21"/>
              </w:rPr>
            </w:pPr>
            <w:r>
              <w:rPr>
                <w:sz w:val="21"/>
                <w:szCs w:val="21"/>
              </w:rPr>
              <w:t>2.6</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外窗(C2421)</w:t>
            </w:r>
          </w:p>
        </w:tc>
        <w:tc>
          <w:tcPr>
            <w:shd w:val="clear" w:color="auto" w:fill="E6E6E6"/>
            <w:vAlign w:val="center"/>
          </w:tcPr>
          <w:p>
            <w:pPr>
              <w:rPr>
                <w:sz w:val="21"/>
                <w:szCs w:val="21"/>
              </w:rPr>
            </w:pPr>
            <w:r>
              <w:rPr>
                <w:sz w:val="21"/>
                <w:szCs w:val="21"/>
              </w:rPr>
              <w:t>5.0</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26.6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26.6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14.5</w:t>
            </w:r>
          </w:p>
        </w:tc>
        <w:tc>
          <w:tcPr>
            <w:vAlign w:val="center"/>
          </w:tcPr>
          <w:p>
            <w:pPr>
              <w:rPr>
                <w:sz w:val="21"/>
                <w:szCs w:val="21"/>
              </w:rPr>
            </w:pPr>
            <w:r>
              <w:rPr>
                <w:sz w:val="21"/>
                <w:szCs w:val="21"/>
              </w:rPr>
              <w:t>7.8</w:t>
            </w:r>
          </w:p>
        </w:tc>
        <w:tc>
          <w:tcPr>
            <w:vAlign w:val="center"/>
          </w:tcPr>
          <w:p>
            <w:pPr>
              <w:rPr>
                <w:sz w:val="21"/>
                <w:szCs w:val="21"/>
              </w:rPr>
            </w:pPr>
            <w:r>
              <w:rPr>
                <w:sz w:val="21"/>
                <w:szCs w:val="21"/>
              </w:rPr>
              <w:t>8.5</w:t>
            </w:r>
          </w:p>
        </w:tc>
        <w:tc>
          <w:tcPr>
            <w:vAlign w:val="center"/>
          </w:tcPr>
          <w:p>
            <w:pPr>
              <w:rPr>
                <w:sz w:val="21"/>
                <w:szCs w:val="21"/>
              </w:rPr>
            </w:pPr>
            <w:r>
              <w:rPr>
                <w:sz w:val="21"/>
                <w:szCs w:val="21"/>
              </w:rPr>
              <w:t>9.5</w:t>
            </w:r>
          </w:p>
        </w:tc>
        <w:tc>
          <w:tcPr>
            <w:vAlign w:val="center"/>
          </w:tcPr>
          <w:p>
            <w:pPr>
              <w:rPr>
                <w:sz w:val="21"/>
                <w:szCs w:val="21"/>
              </w:rPr>
            </w:pPr>
            <w:r>
              <w:rPr>
                <w:sz w:val="21"/>
                <w:szCs w:val="21"/>
              </w:rPr>
              <w:t>11.7</w:t>
            </w:r>
          </w:p>
        </w:tc>
        <w:tc>
          <w:tcPr>
            <w:vAlign w:val="center"/>
          </w:tcPr>
          <w:p>
            <w:pPr>
              <w:rPr>
                <w:sz w:val="21"/>
                <w:szCs w:val="21"/>
              </w:rPr>
            </w:pPr>
          </w:p>
        </w:tc>
      </w:tr>
    </w:tbl>
    <w:p>
      <w:pPr>
        <w:jc w:val="center"/>
        <w:rPr>
          <w:lang w:val="en-US"/>
        </w:rPr>
      </w:pPr>
      <w:bookmarkStart w:id="53" w:name="围护结构吸声量"/>
      <w:bookmarkEnd w:id="53"/>
    </w:p>
    <w:p>
      <w:pPr>
        <w:pStyle w:val="4"/>
      </w:pPr>
      <w:bookmarkStart w:id="54" w:name="_Toc32456"/>
      <w:r>
        <w:rPr>
          <w:rFonts w:hint="eastAsia"/>
        </w:rPr>
        <w:t>组合墙</w:t>
      </w:r>
      <w:r>
        <w:t>空气声隔声量计算</w:t>
      </w:r>
      <w:bookmarkEnd w:id="54"/>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5" w:name="_Toc4525"/>
      <w:r>
        <w:rPr>
          <w:rFonts w:hint="eastAsia"/>
        </w:rPr>
        <w:t>组合墙</w:t>
      </w:r>
      <w:r>
        <w:t>有效隔声量</w:t>
      </w:r>
      <w:bookmarkEnd w:id="55"/>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bookmarkStart w:id="56" w:name="_Hlk138248061"/>
      <w:r>
        <w:rPr>
          <w:rFonts w:hint="eastAsia"/>
          <w:lang w:val="en-US"/>
        </w:rPr>
        <w:t>透射系数：</w:t>
      </w:r>
    </w:p>
    <w:p>
      <w:pPr>
        <w:pStyle w:val="3"/>
        <w:jc w:val="center"/>
        <w:rPr>
          <w:lang w:val="en-US"/>
        </w:rPr>
      </w:pPr>
      <m:oMathPara>
        <m:oMath>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r>
            <w:rPr>
              <w:rFonts w:ascii="Cambria Math" w:hAnsi="Cambria Math"/>
              <w:lang w:val="en-US"/>
            </w:rPr>
            <m:t>=</m:t>
          </m:r>
          <m:sSup>
            <m:sSupPr>
              <m:ctrlPr>
                <w:rPr>
                  <w:rFonts w:ascii="Cambria Math" w:hAnsi="Cambria Math"/>
                </w:rPr>
              </m:ctrlPr>
            </m:sSupPr>
            <m:e>
              <m:r>
                <w:rPr>
                  <w:rFonts w:ascii="Cambria Math" w:hAnsi="Cambria Math"/>
                  <w:lang w:val="en-US"/>
                </w:rPr>
                <m:t>10</m:t>
              </m:r>
              <m:ctrlPr>
                <w:rPr>
                  <w:rFonts w:ascii="Cambria Math" w:hAnsi="Cambria Math"/>
                </w:rPr>
              </m:ctrlPr>
            </m:e>
            <m:sup>
              <m:r>
                <w:rPr>
                  <w:rFonts w:ascii="Cambria Math" w:hAnsi="Cambria Math"/>
                  <w:lang w:val="en-US"/>
                </w:rPr>
                <m:t>−0.1</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τ</m:t>
              </m:r>
              <m:ctrlPr>
                <w:rPr>
                  <w:rFonts w:ascii="Cambria Math" w:hAnsi="Cambria Math"/>
                </w:rPr>
              </m:ctrlPr>
            </m:e>
            <m:sub>
              <m:r>
                <w:rPr>
                  <w:rFonts w:ascii="Cambria Math" w:hAnsi="Cambria Math"/>
                  <w:lang w:val="en-US"/>
                </w:rPr>
                <m:t>kj</m:t>
              </m:r>
              <m:ctrlPr>
                <w:rPr>
                  <w:rFonts w:ascii="Cambria Math" w:hAnsi="Cambria Math"/>
                </w:rPr>
              </m:ctrlPr>
            </m:sub>
          </m:sSub>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r>
            <w:rPr>
              <w:rFonts w:ascii="Cambria Math" w:hAnsi="Cambria Math"/>
              <w:lang w:val="en-US"/>
            </w:rPr>
            <m:t>/</m:t>
          </m:r>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ctrlPr>
                        <w:rPr>
                          <w:rFonts w:ascii="Cambria Math" w:hAnsi="Cambria Math"/>
                        </w:rPr>
                      </m:ctrlPr>
                    </m:e>
                  </m:acc>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jY</m:t>
              </m:r>
              <m:ctrlPr>
                <w:rPr>
                  <w:rFonts w:ascii="Cambria Math" w:hAnsi="Cambria Math"/>
                </w:rPr>
              </m:ctrlPr>
            </m:sub>
          </m:sSub>
          <m:r>
            <w:rPr>
              <w:rFonts w:ascii="Cambria Math" w:hAnsi="Cambria Math"/>
              <w:lang w:val="en-US"/>
            </w:rPr>
            <m:t>=</m:t>
          </m:r>
          <m:sSub>
            <m:sSubPr>
              <m:ctrlPr>
                <w:rPr>
                  <w:rFonts w:ascii="Cambria Math" w:hAnsi="Cambria Math"/>
                </w:rPr>
              </m:ctrlPr>
            </m:sSubPr>
            <m:e>
              <m:r>
                <w:rPr>
                  <w:rFonts w:ascii="Cambria Math" w:hAnsi="Cambria Math"/>
                  <w:lang w:val="en-US"/>
                </w:rPr>
                <m:t>R</m:t>
              </m:r>
              <m:ctrlPr>
                <w:rPr>
                  <w:rFonts w:ascii="Cambria Math" w:hAnsi="Cambria Math"/>
                </w:rPr>
              </m:ctrlPr>
            </m:e>
            <m:sub>
              <m:r>
                <w:rPr>
                  <w:rFonts w:ascii="Cambria Math" w:hAnsi="Cambria Math"/>
                  <w:lang w:val="en-US"/>
                </w:rPr>
                <m:t>jS</m:t>
              </m:r>
              <m:ctrlPr>
                <w:rPr>
                  <w:rFonts w:ascii="Cambria Math" w:hAnsi="Cambria Math"/>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ctrlPr>
                    <w:rPr>
                      <w:rFonts w:ascii="Cambria Math" w:hAnsi="Cambria Math"/>
                    </w:rPr>
                  </m:ctrlPr>
                </m:e>
                <m:sub>
                  <m: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w:rPr>
                      <w:rFonts w:ascii="Cambria Math" w:hAnsi="Cambria Math"/>
                      <w:lang w:val="en-US"/>
                    </w:rPr>
                    <m:t>k=1</m:t>
                  </m:r>
                  <m:ctrlPr>
                    <w:rPr>
                      <w:rFonts w:ascii="Cambria Math" w:hAnsi="Cambria Math"/>
                    </w:rPr>
                  </m:ctrlPr>
                </m:sub>
                <m:sup>
                  <m:r>
                    <w:rPr>
                      <w:rFonts w:ascii="Cambria Math" w:hAnsi="Cambria Math"/>
                      <w:lang w:val="en-US"/>
                    </w:rPr>
                    <m:t>n</m:t>
                  </m:r>
                  <m:ctrlPr>
                    <w:rPr>
                      <w:rFonts w:ascii="Cambria Math" w:hAnsi="Cambria Math"/>
                    </w:rPr>
                  </m:ctrlPr>
                </m:sup>
                <m:e>
                  <m:r>
                    <w:rPr>
                      <w:rFonts w:ascii="Cambria Math" w:hAnsi="Cambria Math"/>
                      <w:lang w:val="en-US"/>
                    </w:rPr>
                    <m:t> </m:t>
                  </m:r>
                  <m:ctrlPr>
                    <w:rPr>
                      <w:rFonts w:ascii="Cambria Math" w:hAnsi="Cambria Math"/>
                    </w:rPr>
                  </m:ctrlPr>
                </m:e>
              </m:nary>
              <m:sSub>
                <m:sSubPr>
                  <m:ctrlPr>
                    <w:rPr>
                      <w:rFonts w:ascii="Cambria Math" w:hAnsi="Cambria Math"/>
                    </w:rPr>
                  </m:ctrlPr>
                </m:sSubPr>
                <m:e>
                  <m:r>
                    <w:rPr>
                      <w:rFonts w:ascii="Cambria Math" w:hAnsi="Cambria Math"/>
                      <w:lang w:val="en-US"/>
                    </w:rPr>
                    <m:t>S</m:t>
                  </m:r>
                  <m:ctrlPr>
                    <w:rPr>
                      <w:rFonts w:ascii="Cambria Math" w:hAnsi="Cambria Math"/>
                    </w:rPr>
                  </m:ctrlPr>
                </m:e>
                <m:sub>
                  <m: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7" w:name="_Toc27719"/>
      <w:r>
        <w:rPr>
          <w:rFonts w:hint="eastAsia"/>
        </w:rPr>
        <w:t>组合墙</w:t>
      </w:r>
      <w:r>
        <w:t>隔声单值评价量、频谱修正量</w:t>
      </w:r>
      <w:bookmarkEnd w:id="57"/>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w:bookmarkStart w:id="58" w:name="_Hlk138248077"/>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bookmarkEnd w:id="58"/>
    <w:p>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05"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倍频程基准值Ki（dB）</w:t>
            </w:r>
          </w:p>
        </w:tc>
        <w:tc>
          <w:tcPr>
            <w:tcW w:w="1105" w:type="dxa"/>
            <w:vAlign w:val="center"/>
          </w:tcPr>
          <w:p>
            <w:pPr>
              <w:jc w:val="center"/>
              <w:rPr>
                <w:sz w:val="21"/>
                <w:szCs w:val="21"/>
              </w:rPr>
            </w:pPr>
            <w:r>
              <w:rPr>
                <w:rFonts w:hint="eastAsia"/>
                <w:sz w:val="21"/>
                <w:szCs w:val="21"/>
              </w:rPr>
              <w:t>-16</w:t>
            </w:r>
          </w:p>
        </w:tc>
        <w:tc>
          <w:tcPr>
            <w:tcW w:w="1106" w:type="dxa"/>
            <w:vAlign w:val="center"/>
          </w:tcPr>
          <w:p>
            <w:pPr>
              <w:jc w:val="center"/>
              <w:rPr>
                <w:sz w:val="21"/>
                <w:szCs w:val="21"/>
              </w:rPr>
            </w:pPr>
            <w:r>
              <w:rPr>
                <w:rFonts w:hint="eastAsia"/>
                <w:sz w:val="21"/>
                <w:szCs w:val="21"/>
              </w:rPr>
              <w:t>-7</w:t>
            </w:r>
          </w:p>
        </w:tc>
        <w:tc>
          <w:tcPr>
            <w:tcW w:w="1105" w:type="dxa"/>
            <w:vAlign w:val="center"/>
          </w:tcPr>
          <w:p>
            <w:pPr>
              <w:jc w:val="center"/>
              <w:rPr>
                <w:sz w:val="21"/>
                <w:szCs w:val="21"/>
              </w:rPr>
            </w:pPr>
            <w:r>
              <w:rPr>
                <w:rFonts w:hint="eastAsia"/>
                <w:sz w:val="21"/>
                <w:szCs w:val="21"/>
              </w:rPr>
              <w:t>0</w:t>
            </w:r>
          </w:p>
        </w:tc>
        <w:tc>
          <w:tcPr>
            <w:tcW w:w="1106" w:type="dxa"/>
            <w:vAlign w:val="center"/>
          </w:tcPr>
          <w:p>
            <w:pPr>
              <w:jc w:val="center"/>
              <w:rPr>
                <w:sz w:val="21"/>
                <w:szCs w:val="21"/>
              </w:rPr>
            </w:pPr>
            <w:r>
              <w:rPr>
                <w:rFonts w:hint="eastAsia"/>
                <w:sz w:val="21"/>
                <w:szCs w:val="21"/>
              </w:rPr>
              <w:t>3</w:t>
            </w:r>
          </w:p>
        </w:tc>
        <w:tc>
          <w:tcPr>
            <w:tcW w:w="1106"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60" w:name="_Toc7051"/>
      <w:r>
        <w:rPr>
          <w:rFonts w:hint="eastAsia"/>
        </w:rPr>
        <w:t>缝隙对组合墙隔声量的影响</w:t>
      </w:r>
      <w:bookmarkEnd w:id="6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r>
                <w:rPr>
                  <w:rFonts w:ascii="Cambria Math" w:hAnsi="Cambria Math"/>
                </w:rPr>
                <m:t>⋅</m:t>
              </m:r>
              <m:sSup>
                <m:sSupPr>
                  <m:ctrlPr>
                    <w:rPr>
                      <w:rFonts w:ascii="Cambria Math" w:hAnsi="Cambria Math"/>
                    </w:rPr>
                  </m:ctrlPr>
                </m:sSupPr>
                <m:e>
                  <m:r>
                    <w:rPr>
                      <w:rFonts w:ascii="Cambria Math" w:hAnsi="Cambria Math"/>
                    </w:rPr>
                    <m:t>10</m:t>
                  </m:r>
                  <m:ctrlPr>
                    <w:rPr>
                      <w:rFonts w:ascii="Cambria Math" w:hAnsi="Cambria Math"/>
                    </w:rPr>
                  </m:ctrlPr>
                </m:e>
                <m:sup>
                  <m:r>
                    <w:rPr>
                      <w:rFonts w:ascii="Cambria Math" w:hAnsi="Cambria Math"/>
                    </w:rPr>
                    <m:t>0.1</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C</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S</m:t>
                  </m:r>
                  <m:ctrlPr>
                    <w:rPr>
                      <w:rFonts w:ascii="Cambria Math" w:hAnsi="Cambria Math"/>
                    </w:rPr>
                  </m:ctrlPr>
                </m:e>
                <m:sub>
                  <m: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pPr>
        <w:pStyle w:val="3"/>
        <w:ind w:firstLine="320" w:firstLineChars="200"/>
        <w:rPr>
          <w:sz w:val="18"/>
          <w:szCs w:val="18"/>
        </w:rPr>
      </w:pPr>
      <w:r>
        <w:rPr>
          <w:rFonts w:hint="eastAsia"/>
          <w:sz w:val="16"/>
          <w:szCs w:val="16"/>
        </w:rPr>
        <w:t>注：一般的门/窗与墙之间的缝隙为0.5cm（装配式）和1cm（非装配式）。</w:t>
      </w:r>
    </w:p>
    <w:bookmarkEnd w:id="61"/>
    <w:p>
      <w:pPr>
        <w:pStyle w:val="5"/>
      </w:pPr>
      <w:bookmarkStart w:id="62" w:name="_Toc9654"/>
      <w:r>
        <w:rPr>
          <w:rFonts w:hint="eastAsia"/>
        </w:rPr>
        <w:t>组合墙隔声量计算过程</w:t>
      </w:r>
      <w:bookmarkEnd w:id="62"/>
    </w:p>
    <w:p>
      <w:pPr>
        <w:pStyle w:val="3"/>
        <w:ind w:firstLine="315" w:firstLineChars="150"/>
        <w:jc w:val="left"/>
      </w:pPr>
      <w:r>
        <w:t>本项目</w:t>
      </w:r>
      <w:r>
        <w:rPr>
          <w:rFonts w:hint="eastAsia"/>
        </w:rPr>
        <w:t>典型</w:t>
      </w:r>
      <w:r>
        <w:t>房间的情况如下图所示：</w:t>
      </w:r>
    </w:p>
    <w:p>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53.0</w:t>
            </w:r>
          </w:p>
        </w:tc>
        <w:tc>
          <w:tcPr>
            <w:vAlign w:val="center"/>
          </w:tcPr>
          <w:p>
            <w:pPr>
              <w:rPr>
                <w:sz w:val="21"/>
                <w:szCs w:val="21"/>
              </w:rPr>
            </w:pPr>
            <w:r>
              <w:rPr>
                <w:sz w:val="21"/>
                <w:szCs w:val="21"/>
              </w:rPr>
              <w:t>53.7</w:t>
            </w:r>
          </w:p>
        </w:tc>
        <w:tc>
          <w:tcPr>
            <w:vAlign w:val="center"/>
          </w:tcPr>
          <w:p>
            <w:pPr>
              <w:rPr>
                <w:sz w:val="21"/>
                <w:szCs w:val="21"/>
              </w:rPr>
            </w:pPr>
            <w:r>
              <w:rPr>
                <w:sz w:val="21"/>
                <w:szCs w:val="21"/>
              </w:rPr>
              <w:t>57.4</w:t>
            </w:r>
          </w:p>
        </w:tc>
        <w:tc>
          <w:tcPr>
            <w:vAlign w:val="center"/>
          </w:tcPr>
          <w:p>
            <w:pPr>
              <w:rPr>
                <w:sz w:val="21"/>
                <w:szCs w:val="21"/>
              </w:rPr>
            </w:pPr>
            <w:r>
              <w:rPr>
                <w:sz w:val="21"/>
                <w:szCs w:val="21"/>
              </w:rPr>
              <w:t>61.1</w:t>
            </w:r>
          </w:p>
        </w:tc>
        <w:tc>
          <w:tcPr>
            <w:vAlign w:val="center"/>
          </w:tcPr>
          <w:p>
            <w:pPr>
              <w:rPr>
                <w:sz w:val="21"/>
                <w:szCs w:val="21"/>
              </w:rPr>
            </w:pPr>
            <w:r>
              <w:rPr>
                <w:sz w:val="21"/>
                <w:szCs w:val="21"/>
              </w:rPr>
              <w:t>65.3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外墙2+外窗(C2421)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外窗(C2421)隔声量(dB)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25.7</w:t>
            </w:r>
          </w:p>
        </w:tc>
        <w:tc>
          <w:tcPr>
            <w:vAlign w:val="center"/>
          </w:tcPr>
          <w:p>
            <w:pPr>
              <w:rPr>
                <w:sz w:val="21"/>
                <w:szCs w:val="21"/>
              </w:rPr>
            </w:pPr>
            <w:r>
              <w:rPr>
                <w:sz w:val="21"/>
                <w:szCs w:val="21"/>
              </w:rPr>
              <w:t>33.6</w:t>
            </w:r>
          </w:p>
        </w:tc>
        <w:tc>
          <w:tcPr>
            <w:vAlign w:val="center"/>
          </w:tcPr>
          <w:p>
            <w:pPr>
              <w:rPr>
                <w:sz w:val="21"/>
                <w:szCs w:val="21"/>
              </w:rPr>
            </w:pPr>
            <w:r>
              <w:rPr>
                <w:sz w:val="21"/>
                <w:szCs w:val="21"/>
              </w:rPr>
              <w:t>37.6</w:t>
            </w:r>
          </w:p>
        </w:tc>
        <w:tc>
          <w:tcPr>
            <w:vAlign w:val="center"/>
          </w:tcPr>
          <w:p>
            <w:pPr>
              <w:rPr>
                <w:sz w:val="21"/>
                <w:szCs w:val="21"/>
              </w:rPr>
            </w:pPr>
            <w:r>
              <w:rPr>
                <w:sz w:val="21"/>
                <w:szCs w:val="21"/>
              </w:rPr>
              <w:t>38.6</w:t>
            </w:r>
          </w:p>
        </w:tc>
        <w:tc>
          <w:tcPr>
            <w:vAlign w:val="center"/>
          </w:tcPr>
          <w:p>
            <w:pPr>
              <w:rPr>
                <w:sz w:val="21"/>
                <w:szCs w:val="21"/>
              </w:rPr>
            </w:pPr>
            <w:r>
              <w:rPr>
                <w:sz w:val="21"/>
                <w:szCs w:val="21"/>
              </w:rPr>
              <w:t>43.6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27.6</w:t>
            </w:r>
          </w:p>
        </w:tc>
        <w:tc>
          <w:tcPr>
            <w:vAlign w:val="center"/>
          </w:tcPr>
          <w:p>
            <w:pPr>
              <w:rPr>
                <w:sz w:val="21"/>
                <w:szCs w:val="21"/>
              </w:rPr>
            </w:pPr>
            <w:r>
              <w:rPr>
                <w:sz w:val="21"/>
                <w:szCs w:val="21"/>
              </w:rPr>
              <w:t>32.8</w:t>
            </w:r>
          </w:p>
        </w:tc>
        <w:tc>
          <w:tcPr>
            <w:vAlign w:val="center"/>
          </w:tcPr>
          <w:p>
            <w:pPr>
              <w:rPr>
                <w:sz w:val="21"/>
                <w:szCs w:val="21"/>
              </w:rPr>
            </w:pPr>
            <w:r>
              <w:rPr>
                <w:sz w:val="21"/>
                <w:szCs w:val="21"/>
              </w:rPr>
              <w:t>37.2</w:t>
            </w:r>
          </w:p>
        </w:tc>
        <w:tc>
          <w:tcPr>
            <w:vAlign w:val="center"/>
          </w:tcPr>
          <w:p>
            <w:pPr>
              <w:rPr>
                <w:sz w:val="21"/>
                <w:szCs w:val="21"/>
              </w:rPr>
            </w:pPr>
            <w:r>
              <w:rPr>
                <w:sz w:val="21"/>
                <w:szCs w:val="21"/>
              </w:rPr>
              <w:t>38.7</w:t>
            </w:r>
          </w:p>
        </w:tc>
        <w:tc>
          <w:tcPr>
            <w:vAlign w:val="center"/>
          </w:tcPr>
          <w:p>
            <w:pPr>
              <w:rPr>
                <w:sz w:val="21"/>
                <w:szCs w:val="21"/>
              </w:rPr>
            </w:pPr>
            <w:r>
              <w:rPr>
                <w:sz w:val="21"/>
                <w:szCs w:val="21"/>
              </w:rPr>
              <w:t>44.6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45.4</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49.9</w:t>
            </w:r>
          </w:p>
        </w:tc>
        <w:tc>
          <w:tcPr>
            <w:vAlign w:val="center"/>
          </w:tcPr>
          <w:p>
            <w:pPr>
              <w:rPr>
                <w:sz w:val="21"/>
                <w:szCs w:val="21"/>
              </w:rPr>
            </w:pPr>
            <w:r>
              <w:rPr>
                <w:sz w:val="21"/>
                <w:szCs w:val="21"/>
              </w:rPr>
              <w:t>50.5</w:t>
            </w:r>
          </w:p>
        </w:tc>
        <w:tc>
          <w:tcPr>
            <w:vAlign w:val="center"/>
          </w:tcPr>
          <w:p>
            <w:pPr>
              <w:rPr>
                <w:sz w:val="21"/>
                <w:szCs w:val="21"/>
              </w:rPr>
            </w:pPr>
            <w:r>
              <w:rPr>
                <w:sz w:val="21"/>
                <w:szCs w:val="21"/>
              </w:rPr>
              <w:t>54.2</w:t>
            </w:r>
          </w:p>
        </w:tc>
        <w:tc>
          <w:tcPr>
            <w:vAlign w:val="center"/>
          </w:tcPr>
          <w:p>
            <w:pPr>
              <w:rPr>
                <w:sz w:val="21"/>
                <w:szCs w:val="21"/>
              </w:rPr>
            </w:pPr>
            <w:r>
              <w:rPr>
                <w:sz w:val="21"/>
                <w:szCs w:val="21"/>
              </w:rPr>
              <w:t>58.0</w:t>
            </w:r>
          </w:p>
        </w:tc>
        <w:tc>
          <w:tcPr>
            <w:vAlign w:val="center"/>
          </w:tcPr>
          <w:p>
            <w:pPr>
              <w:rPr>
                <w:sz w:val="21"/>
                <w:szCs w:val="21"/>
              </w:rPr>
            </w:pPr>
            <w:r>
              <w:rPr>
                <w:sz w:val="21"/>
                <w:szCs w:val="21"/>
              </w:rPr>
              <w:t>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55</w:t>
            </w:r>
          </w:p>
        </w:tc>
      </w:tr>
    </w:tbl>
    <w:p>
      <w:pPr>
        <w:jc w:val="center"/>
        <w:rPr>
          <w:lang w:val="en-US"/>
        </w:rPr>
      </w:pPr>
      <w:bookmarkStart w:id="64" w:name="组合墙隔声量"/>
      <w:bookmarkEnd w:id="64"/>
    </w:p>
    <w:p>
      <w:pPr>
        <w:pStyle w:val="4"/>
      </w:pPr>
      <w:bookmarkStart w:id="65" w:name="_Toc32708"/>
      <w:r>
        <w:rPr>
          <w:rFonts w:hint="eastAsia"/>
        </w:rPr>
        <w:t>室外环境噪声通过组合墙传到室内的噪声级计算</w:t>
      </w:r>
      <w:bookmarkEnd w:id="65"/>
    </w:p>
    <w:p>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pPr>
        <w:pStyle w:val="3"/>
        <w:spacing w:before="240"/>
        <w:jc w:val="center"/>
      </w:pPr>
      <m:oMathPara>
        <m:oMath>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mW−N</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L</m:t>
              </m:r>
              <m:ctrlPr>
                <w:rPr>
                  <w:rFonts w:ascii="Cambria Math" w:hAnsi="Cambria Math"/>
                </w:rPr>
              </m:ctrlPr>
            </m:e>
            <m:sub>
              <m:r>
                <w:rPr>
                  <w:rFonts w:ascii="Cambria Math" w:hAnsi="Cambria Math"/>
                </w:rPr>
                <m:t>mW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w:rPr>
                  <w:rFonts w:ascii="Cambria Math"/>
                </w:rPr>
                <m:t>L</m:t>
              </m:r>
              <m:ctrlPr>
                <w:rPr>
                  <w:rFonts w:ascii="Cambria Math" w:hAnsi="Cambria Math"/>
                  <w:i/>
                </w:rPr>
              </m:ctrlPr>
            </m:e>
            <m:sub>
              <m:r>
                <w:rPr>
                  <w:rFonts w:ascii="Cambria Math"/>
                </w:rPr>
                <m:t>W</m:t>
              </m:r>
              <m:r>
                <w:rPr>
                  <w:rFonts w:hint="eastAsia" w:ascii="Cambria Math"/>
                </w:rPr>
                <m:t>−</m:t>
              </m:r>
              <m:r>
                <w:rPr>
                  <w:rFonts w:ascii="Cambria Math"/>
                </w:rPr>
                <m:t>N</m:t>
              </m:r>
              <m:ctrlPr>
                <w:rPr>
                  <w:rFonts w:ascii="Cambria Math" w:hAnsi="Cambria Math"/>
                  <w:i/>
                </w:rPr>
              </m:ctrlPr>
            </m:sub>
          </m:sSub>
          <m:r>
            <w:rPr>
              <w:rFonts w:ascii="Cambria Math"/>
            </w:rPr>
            <m:t>=10</m:t>
          </m:r>
          <m:func>
            <m:funcPr>
              <m:ctrlPr>
                <w:rPr>
                  <w:rFonts w:ascii="Cambria Math" w:hAnsi="Cambria Math"/>
                  <w:i/>
                </w:rPr>
              </m:ctrlPr>
            </m:funcPr>
            <m:fName>
              <m:r>
                <w:rPr>
                  <w:rFonts w:ascii="Cambria Math"/>
                </w:rPr>
                <m:t>lg</m:t>
              </m:r>
              <m:ctrlPr>
                <w:rPr>
                  <w:rFonts w:ascii="Cambria Math" w:hAnsi="Cambria Math"/>
                  <w:i/>
                </w:rPr>
              </m:ctrlPr>
            </m:fName>
            <m:e>
              <m:nary>
                <m:naryPr>
                  <m:chr m:val="∑"/>
                  <m:ctrlPr>
                    <w:rPr>
                      <w:rFonts w:ascii="Cambria Math" w:hAnsi="Cambria Math"/>
                      <w:i/>
                    </w:rPr>
                  </m:ctrlPr>
                </m:naryPr>
                <m:sub>
                  <m:r>
                    <w:rPr>
                      <w:rFonts w:ascii="Cambria Math"/>
                    </w:rPr>
                    <m:t>m=1</m:t>
                  </m:r>
                  <m:ctrlPr>
                    <w:rPr>
                      <w:rFonts w:ascii="Cambria Math" w:hAnsi="Cambria Math"/>
                      <w:i/>
                    </w:rPr>
                  </m:ctrlPr>
                </m:sub>
                <m:sup>
                  <m:r>
                    <w:rPr>
                      <w:rFonts w:ascii="Cambria Math"/>
                    </w:rPr>
                    <m:t>n</m:t>
                  </m:r>
                  <m:ctrlPr>
                    <w:rPr>
                      <w:rFonts w:ascii="Cambria Math" w:hAnsi="Cambria Math"/>
                      <w:i/>
                    </w:rPr>
                  </m:ctrlPr>
                </m:sup>
                <m:e>
                  <m:r>
                    <w:rPr>
                      <w:rFonts w:ascii="Cambria Math"/>
                    </w:rPr>
                    <m:t>1</m:t>
                  </m:r>
                  <m:sSup>
                    <m:sSupPr>
                      <m:ctrlPr>
                        <w:rPr>
                          <w:rFonts w:ascii="Cambria Math" w:hAnsi="Cambria Math"/>
                          <w:i/>
                        </w:rPr>
                      </m:ctrlPr>
                    </m:sSupPr>
                    <m:e>
                      <m:r>
                        <w:rPr>
                          <w:rFonts w:ascii="Cambria Math"/>
                        </w:rPr>
                        <m:t>0</m:t>
                      </m:r>
                      <m:ctrlPr>
                        <w:rPr>
                          <w:rFonts w:ascii="Cambria Math" w:hAnsi="Cambria Math"/>
                          <w:i/>
                        </w:rPr>
                      </m:ctrlPr>
                    </m:e>
                    <m:sup>
                      <m:r>
                        <w:rPr>
                          <w:rFonts w:ascii="Cambria Math"/>
                        </w:rPr>
                        <m:t>0.1</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mW</m:t>
                          </m:r>
                          <m:r>
                            <w:rPr>
                              <w:rFonts w:hint="eastAsia" w:ascii="Cambria Math"/>
                            </w:rPr>
                            <m:t>−</m:t>
                          </m:r>
                          <m: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—室外环境噪声过多面组合墙传到室内的总噪声级，dB（A）。</w:t>
      </w:r>
    </w:p>
    <w:p>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59</w:t>
            </w:r>
          </w:p>
        </w:tc>
        <w:tc>
          <w:tcPr>
            <w:vAlign w:val="center"/>
          </w:tcPr>
          <w:p>
            <w:pPr>
              <w:rPr>
                <w:sz w:val="21"/>
                <w:szCs w:val="21"/>
              </w:rPr>
            </w:pPr>
            <w:r>
              <w:rPr>
                <w:sz w:val="21"/>
                <w:szCs w:val="21"/>
              </w:rPr>
              <w:t>59</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外墙2+外窗(C2421)</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35</w:t>
            </w:r>
          </w:p>
        </w:tc>
        <w:tc>
          <w:tcPr>
            <w:vAlign w:val="center"/>
          </w:tcPr>
          <w:p>
            <w:pPr>
              <w:rPr>
                <w:sz w:val="21"/>
                <w:szCs w:val="21"/>
              </w:rPr>
            </w:pPr>
            <w:r>
              <w:rPr>
                <w:sz w:val="21"/>
                <w:szCs w:val="21"/>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55</w:t>
            </w:r>
          </w:p>
        </w:tc>
        <w:tc>
          <w:tcPr>
            <w:vAlign w:val="center"/>
          </w:tcPr>
          <w:p>
            <w:pPr>
              <w:rPr>
                <w:sz w:val="21"/>
                <w:szCs w:val="21"/>
              </w:rPr>
            </w:pPr>
            <w:r>
              <w:rPr>
                <w:sz w:val="21"/>
                <w:szCs w:val="21"/>
              </w:rPr>
              <w:t>55</w:t>
            </w:r>
          </w:p>
        </w:tc>
        <w:tc>
          <w:tcPr>
            <w:vAlign w:val="center"/>
          </w:tcPr>
          <w:p>
            <w:pPr>
              <w:rPr>
                <w:sz w:val="21"/>
                <w:szCs w:val="21"/>
              </w:rPr>
            </w:pPr>
            <w:r>
              <w:rPr>
                <w:sz w:val="21"/>
                <w:szCs w:val="21"/>
              </w:rPr>
              <w:t>＜5</w:t>
            </w:r>
          </w:p>
        </w:tc>
        <w:tc>
          <w:tcPr>
            <w:vAlign w:val="center"/>
          </w:tcPr>
          <w:p>
            <w:pPr>
              <w:rPr>
                <w:sz w:val="21"/>
                <w:szCs w:val="21"/>
              </w:rPr>
            </w:pPr>
            <w:r>
              <w:rPr>
                <w:sz w:val="21"/>
                <w:szCs w:val="21"/>
              </w:rPr>
              <w:t>＜5</w:t>
            </w:r>
          </w:p>
        </w:tc>
      </w:tr>
    </w:tbl>
    <w:p>
      <w:pPr>
        <w:jc w:val="center"/>
      </w:pPr>
      <w:bookmarkStart w:id="67" w:name="组合墙传到室内噪声级"/>
      <w:bookmarkEnd w:id="67"/>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35</w:t>
      </w:r>
      <w:bookmarkEnd w:id="69"/>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25</w:t>
      </w:r>
      <w:bookmarkEnd w:id="70"/>
      <w:r>
        <w:rPr>
          <w:rFonts w:hint="eastAsia"/>
          <w:b/>
          <w:lang w:val="en-US"/>
        </w:rPr>
        <w:t xml:space="preserve"> </w:t>
      </w:r>
      <w:r>
        <w:rPr>
          <w:b/>
        </w:rPr>
        <w:t>dB</w:t>
      </w:r>
      <w:r>
        <w:rPr>
          <w:rFonts w:hint="eastAsia"/>
          <w:b/>
        </w:rPr>
        <w:t>（</w:t>
      </w:r>
      <w:r>
        <w:rPr>
          <w:b/>
        </w:rPr>
        <w:t>A</w:t>
      </w:r>
      <w:r>
        <w:rPr>
          <w:rFonts w:hint="eastAsia"/>
          <w:b/>
        </w:rPr>
        <w:t>）</w:t>
      </w:r>
    </w:p>
    <w:bookmarkEnd w:id="68"/>
    <w:p>
      <w:pPr>
        <w:pStyle w:val="4"/>
      </w:pPr>
      <w:bookmarkStart w:id="71" w:name="_Toc1689"/>
      <w:r>
        <w:rPr>
          <w:rFonts w:hint="eastAsia"/>
        </w:rPr>
        <w:t>室内声源的影响</w:t>
      </w:r>
      <w:bookmarkEnd w:id="71"/>
    </w:p>
    <w:p>
      <w:pPr>
        <w:pStyle w:val="3"/>
        <w:ind w:firstLine="420"/>
        <w:rPr>
          <w:lang w:val="en-US"/>
        </w:rPr>
      </w:pPr>
      <w:r>
        <w:rPr>
          <w:rFonts w:hint="eastAsia"/>
          <w:lang w:val="en-US"/>
        </w:rPr>
        <w:t>建筑内声源对目标房间内的噪声影响由两部分构成：</w:t>
      </w:r>
    </w:p>
    <w:p>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grow m:val="1"/>
              <m:limLoc m:val="undOvr"/>
              <m:ctrlPr>
                <w:rPr>
                  <w:rFonts w:ascii="Cambria Math" w:hAnsi="Cambria Math"/>
                  <w:lang w:val="en-US"/>
                </w:rPr>
              </m:ctrlPr>
            </m:naryPr>
            <m:sub>
              <m:r>
                <w:rPr>
                  <w:rFonts w:ascii="Cambria Math" w:hAnsi="Cambria Math"/>
                  <w:lang w:val="en-US"/>
                </w:rPr>
                <m:t>i=1</m:t>
              </m:r>
              <m:ctrlPr>
                <w:rPr>
                  <w:rFonts w:ascii="Cambria Math" w:hAnsi="Cambria Math"/>
                  <w:lang w:val="en-US"/>
                </w:rPr>
              </m:ctrlPr>
            </m:sub>
            <m:sup>
              <m:r>
                <w:rPr>
                  <w:rFonts w:ascii="Cambria Math" w:hAnsi="Cambria Math"/>
                  <w:lang w:val="en-US"/>
                </w:rPr>
                <m:t>n</m:t>
              </m:r>
              <m:ctrlPr>
                <w:rPr>
                  <w:rFonts w:ascii="Cambria Math" w:hAnsi="Cambria Math"/>
                  <w:lang w:val="en-US"/>
                </w:rPr>
              </m:ctrlPr>
            </m:sup>
            <m:e>
              <m: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ctrlPr>
                    <w:rPr>
                      <w:rFonts w:ascii="Cambria Math" w:hAnsi="Cambria Math"/>
                      <w:lang w:val="en-US"/>
                    </w:rPr>
                  </m:ctrlPr>
                </m:e>
                <m:sub>
                  <m: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73" w:name="建筑内声源传声"/>
      <w:bookmarkEnd w:id="7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4" w:name="_Toc30474"/>
      <w:r>
        <w:rPr>
          <w:rFonts w:hint="eastAsia"/>
        </w:rPr>
        <w:t>室内噪声级计算</w:t>
      </w:r>
      <w:bookmarkEnd w:id="74"/>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pPr>
        <w:pStyle w:val="3"/>
        <w:ind w:firstLine="420" w:firstLineChars="200"/>
        <w:rPr>
          <w:lang w:val="en-US"/>
        </w:rPr>
      </w:pPr>
      <m:oMathPara>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ctrlPr>
                    <w:rPr>
                      <w:rFonts w:ascii="Cambria Math" w:hAnsi="Cambria Math"/>
                      <w:lang w:val="en-US"/>
                    </w:rPr>
                  </m:ctrlPr>
                </m:e>
                <m:sup>
                  <m: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低限:≤45,高要求:≤40</w:t>
            </w:r>
          </w:p>
        </w:tc>
        <w:tc>
          <w:tcPr>
            <w:vAlign w:val="center"/>
          </w:tcPr>
          <w:p>
            <w:pPr>
              <w:jc w:val="center"/>
              <w:rPr>
                <w:sz w:val="21"/>
                <w:szCs w:val="21"/>
              </w:rPr>
            </w:pPr>
            <w:r>
              <w:rPr>
                <w:sz w:val="21"/>
                <w:szCs w:val="21"/>
              </w:rPr>
              <w:t>低限:≤37,高要求:≤30</w:t>
            </w:r>
          </w:p>
        </w:tc>
        <w:tc>
          <w:tcPr>
            <w:vAlign w:val="center"/>
          </w:tcPr>
          <w:p>
            <w:pPr>
              <w:jc w:val="center"/>
              <w:rPr>
                <w:sz w:val="21"/>
                <w:szCs w:val="21"/>
              </w:rPr>
            </w:pPr>
            <w:r>
              <w:rPr>
                <w:sz w:val="21"/>
                <w:szCs w:val="21"/>
              </w:rPr>
              <w:t>满足高要求</w:t>
            </w:r>
          </w:p>
        </w:tc>
      </w:tr>
    </w:tbl>
    <w:p>
      <w:pPr>
        <w:jc w:val="center"/>
        <w:rPr>
          <w:lang w:val="en-US"/>
        </w:rPr>
      </w:pPr>
      <w:bookmarkStart w:id="76" w:name="典型房间室内噪声值"/>
      <w:bookmarkEnd w:id="76"/>
      <w:bookmarkStart w:id="77" w:name="最不利房间室内噪声级统计"/>
      <w:bookmarkEnd w:id="77"/>
    </w:p>
    <w:p>
      <w:pPr>
        <w:pStyle w:val="4"/>
      </w:pPr>
      <w:bookmarkStart w:id="78" w:name="_Toc2843"/>
      <w:r>
        <w:rPr>
          <w:rFonts w:hint="eastAsia"/>
        </w:rPr>
        <w:t>小结</w:t>
      </w:r>
      <w:bookmarkEnd w:id="78"/>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1120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卧室</w:t>
            </w:r>
          </w:p>
        </w:tc>
        <w:tc>
          <w:tcPr>
            <w:vAlign w:val="center"/>
          </w:tcPr>
          <w:p>
            <w:pPr>
              <w:rPr>
                <w:sz w:val="21"/>
                <w:szCs w:val="21"/>
              </w:rPr>
            </w:pPr>
            <w:r>
              <w:rPr>
                <w:sz w:val="21"/>
                <w:szCs w:val="21"/>
              </w:rPr>
              <w:t>卧室</w:t>
            </w:r>
          </w:p>
        </w:tc>
        <w:tc>
          <w:tcPr>
            <w:vAlign w:val="center"/>
          </w:tcPr>
          <w:p>
            <w:pPr>
              <w:rPr>
                <w:sz w:val="21"/>
                <w:szCs w:val="21"/>
              </w:rPr>
            </w:pPr>
            <w:r>
              <w:rPr>
                <w:sz w:val="21"/>
                <w:szCs w:val="21"/>
              </w:rPr>
              <w:t>1007,1009,1019</w:t>
            </w:r>
            <w:r>
              <w:rPr>
                <w:sz w:val="21"/>
                <w:szCs w:val="21"/>
              </w:rPr>
              <w:br w:type="textWrapping"/>
            </w:r>
            <w:r>
              <w:rPr>
                <w:sz w:val="21"/>
                <w:szCs w:val="21"/>
              </w:rPr>
              <w:t>等98个房间</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pPr>
      <w:bookmarkStart w:id="79" w:name="主要功能房间室内噪声值"/>
      <w:bookmarkEnd w:id="79"/>
    </w:p>
    <w:p>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80" w:name="_Toc561"/>
      <w:r>
        <w:rPr>
          <w:rFonts w:hint="eastAsia"/>
          <w:kern w:val="2"/>
        </w:rPr>
        <w:t>结论</w:t>
      </w:r>
      <w:bookmarkEnd w:id="80"/>
    </w:p>
    <w:p>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pPr>
            <w:r>
              <w:t>检查项</w:t>
            </w:r>
          </w:p>
        </w:tc>
        <w:tc>
          <w:tcPr>
            <w:tcW w:w="5616" w:type="dxa"/>
            <w:shd w:val="clear" w:color="auto" w:fill="E6E6E6"/>
          </w:tcPr>
          <w:p>
            <w:pPr>
              <w:pStyle w:val="3"/>
              <w:jc w:val="center"/>
            </w:pPr>
            <w:r>
              <w:rPr>
                <w:rFonts w:hint="eastAsia"/>
              </w:rPr>
              <w:t>评价</w:t>
            </w:r>
            <w:r>
              <w:t>依据</w:t>
            </w:r>
          </w:p>
        </w:tc>
        <w:tc>
          <w:tcPr>
            <w:tcW w:w="1694" w:type="dxa"/>
            <w:shd w:val="clear" w:color="auto" w:fill="E6E6E6"/>
            <w:vAlign w:val="center"/>
          </w:tcPr>
          <w:p>
            <w:pPr>
              <w:pStyle w:val="3"/>
              <w:jc w:val="center"/>
            </w:pPr>
            <w:r>
              <w:t>结论</w:t>
            </w:r>
          </w:p>
        </w:tc>
        <w:tc>
          <w:tcPr>
            <w:tcW w:w="731"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pPr>
            <w:r>
              <w:t>室内噪声级</w:t>
            </w:r>
          </w:p>
        </w:tc>
        <w:tc>
          <w:tcPr>
            <w:tcW w:w="5616"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pPr>
              <w:jc w:val="center"/>
              <w:rPr>
                <w:b/>
                <w:bCs/>
                <w:sz w:val="21"/>
                <w:szCs w:val="21"/>
              </w:rPr>
            </w:pPr>
            <w:bookmarkStart w:id="81" w:name="室内噪声控制项结论"/>
            <w:r>
              <w:rPr>
                <w:b/>
                <w:bCs/>
                <w:sz w:val="21"/>
                <w:szCs w:val="21"/>
              </w:rPr>
              <w:t>满足</w:t>
            </w:r>
            <w:bookmarkEnd w:id="81"/>
          </w:p>
        </w:tc>
        <w:tc>
          <w:tcPr>
            <w:tcW w:w="731" w:type="dxa"/>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pPr>
          </w:p>
        </w:tc>
        <w:tc>
          <w:tcPr>
            <w:tcW w:w="5616" w:type="dxa"/>
          </w:tcPr>
          <w:p>
            <w:pPr>
              <w:pStyle w:val="3"/>
              <w:rPr>
                <w:bCs/>
              </w:rPr>
            </w:pPr>
            <w:r>
              <w:rPr>
                <w:rFonts w:hint="eastAsia"/>
                <w:bCs/>
              </w:rPr>
              <w:t>评分项：</w:t>
            </w:r>
          </w:p>
          <w:p>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sz w:val="21"/>
                <w:szCs w:val="21"/>
              </w:rPr>
            </w:pPr>
            <w:bookmarkStart w:id="82" w:name="室内噪声评分项结论"/>
            <w:r>
              <w:rPr>
                <w:b/>
                <w:bCs/>
                <w:sz w:val="21"/>
                <w:szCs w:val="21"/>
              </w:rPr>
              <w:t>满足高要求</w:t>
            </w:r>
            <w:bookmarkEnd w:id="82"/>
          </w:p>
        </w:tc>
        <w:tc>
          <w:tcPr>
            <w:tcW w:w="731" w:type="dxa"/>
            <w:vAlign w:val="center"/>
          </w:tcPr>
          <w:p>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pPr>
        <w:pStyle w:val="13"/>
        <w:spacing w:line="360" w:lineRule="auto"/>
        <w:ind w:firstLine="0" w:firstLineChars="0"/>
        <w:rPr>
          <w:rFonts w:ascii="宋体" w:hAnsi="宋体" w:eastAsia="宋体"/>
          <w:sz w:val="21"/>
          <w:szCs w:val="21"/>
        </w:rPr>
      </w:pPr>
    </w:p>
    <w:p>
      <w:pPr>
        <w:snapToGrid/>
        <w:rPr>
          <w:rFonts w:ascii="宋体" w:hAnsi="宋体" w:eastAsia="宋体"/>
          <w:kern w:val="2"/>
          <w:sz w:val="21"/>
          <w:szCs w:val="21"/>
          <w:lang w:val="en-US"/>
        </w:rPr>
      </w:pPr>
      <w:r>
        <w:rPr>
          <w:rFonts w:ascii="宋体" w:hAnsi="宋体" w:eastAsia="宋体"/>
          <w:sz w:val="21"/>
          <w:szCs w:val="21"/>
        </w:rPr>
        <w:br w:type="page"/>
      </w:r>
    </w:p>
    <w:p>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84" w:name="_Toc147649527"/>
      <w:bookmarkStart w:id="85" w:name="_Toc6337"/>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普通办公室[1120]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卧室[1019]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卧室[1020]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卧室[1023]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卧室[1038]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卧室[1045]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卧室[1059]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卧室[1069]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卧室[1079]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卧室[1085]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卧室[1090]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卧室[1091]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卧室[1108]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卧室[2010]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卧室[2011]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卧室[2029]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卧室[2039]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卧室[2040]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卧室[2043]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卧室[2051]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卧室[2053]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卧室[2067]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卧室[2071]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卧室[2075]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卧室[2087]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卧室[2088]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卧室[2099]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卧室[2109]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Merge w:val="restart"/>
            <w:vAlign w:val="center"/>
          </w:tcPr>
          <w:p>
            <w:pPr>
              <w:rPr>
                <w:sz w:val="21"/>
                <w:szCs w:val="21"/>
              </w:rPr>
            </w:pPr>
          </w:p>
        </w:tc>
        <w:tc>
          <w:tcPr>
            <w:vAlign w:val="center"/>
          </w:tcPr>
          <w:p>
            <w:pPr>
              <w:rPr>
                <w:sz w:val="21"/>
                <w:szCs w:val="21"/>
              </w:rPr>
            </w:pPr>
            <w:r>
              <w:rPr>
                <w:sz w:val="21"/>
                <w:szCs w:val="21"/>
              </w:rPr>
              <w:t>卧室[3008]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卧室[3012]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卧室[3028]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卧室[3034]</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卧室[3035]</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卧室[3049]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卧室[3058]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卧室[3078]</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卧室[3081]</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卧室[3083]</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卧室[3089]</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卧室[3097]</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卧室[3102]</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卧室[3106]</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卧室[3110]</w:t>
            </w:r>
          </w:p>
        </w:tc>
        <w:tc>
          <w:tcPr>
            <w:vAlign w:val="center"/>
          </w:tcPr>
          <w:p>
            <w:pPr>
              <w:rPr>
                <w:sz w:val="21"/>
                <w:szCs w:val="21"/>
              </w:rPr>
            </w:pPr>
            <w:r>
              <w:rPr>
                <w:sz w:val="21"/>
                <w:szCs w:val="21"/>
              </w:rPr>
              <w:t>卧室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L:≤37</w:t>
            </w:r>
            <w:r>
              <w:rPr>
                <w:sz w:val="21"/>
                <w:szCs w:val="21"/>
              </w:rPr>
              <w:br w:type="textWrapping"/>
            </w:r>
            <w:r>
              <w:rPr>
                <w:sz w:val="21"/>
                <w:szCs w:val="21"/>
              </w:rPr>
              <w:t>H:≤30</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满足高要求</w:t>
            </w:r>
          </w:p>
        </w:tc>
      </w:tr>
    </w:tbl>
    <w:p>
      <w:pPr>
        <w:pStyle w:val="3"/>
        <w:spacing w:before="240"/>
        <w:jc w:val="center"/>
        <w:rPr>
          <w:lang w:val="en-US"/>
        </w:rPr>
      </w:pPr>
      <w:bookmarkStart w:id="86" w:name="室内噪声级附录表"/>
      <w:bookmarkEnd w:id="86"/>
    </w:p>
    <w:p>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WVhMmJmNWRjN2EzZWQ3ZDJiMzk1MjI0ZGU5ZjkifQ=="/>
  </w:docVars>
  <w:rsids>
    <w:rsidRoot w:val="6BD945BB"/>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4E557F55"/>
    <w:rsid w:val="6BD9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61;&#2800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tmp3.dotx</Template>
  <Pages>22</Pages>
  <Words>9198</Words>
  <Characters>12418</Characters>
  <Lines>57</Lines>
  <Paragraphs>16</Paragraphs>
  <TotalTime>2</TotalTime>
  <ScaleCrop>false</ScaleCrop>
  <LinksUpToDate>false</LinksUpToDate>
  <CharactersWithSpaces>14980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2024-12-26T00:42:00Z</dcterms:created>
  <dc:creator>A HAPPY BOY</dc:creator>
  <cp:lastModifiedBy>。。。</cp:lastModifiedBy>
  <dcterms:modified xsi:type="dcterms:W3CDTF">2024-12-30T03:43:12Z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5D9FB14C1CDF468E85295D0056CD74F8_11</vt:lpwstr>
  </property>
  <property fmtid="{D5CDD505-2E9C-101B-9397-08002B2CF9AE}" pid="3" name="KSOProductBuildVer">
    <vt:lpwstr>2052-11.1.0.10072</vt:lpwstr>
  </property>
</Properties>
</file>