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bmp" ContentType="image/bmp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综合能耗节能率计算书</w:t>
      </w:r>
    </w:p>
    <w:p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hint="eastAsia" w:ascii="宋体" w:hAnsi="宋体"/>
          <w:bCs/>
          <w:sz w:val="44"/>
          <w:szCs w:val="44"/>
          <w:lang w:val="en-US"/>
        </w:rPr>
        <w:t>居住建筑</w:t>
      </w: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19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>
            <w:pPr>
              <w:pStyle w:val="16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>
            <w:pPr>
              <w:pStyle w:val="1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>
              <w:t>新建项目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河南-郑州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  <w:r>
              <w:rPr>
                <w:rFonts w:hint="eastAsia" w:ascii="宋体" w:hAnsi="宋体"/>
                <w:szCs w:val="21"/>
              </w:rPr>
              <w:t>BKB70068</w:t>
            </w:r>
            <w:bookmarkStart w:id="185" w:name="_GoBack"/>
            <w:bookmarkEnd w:id="18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定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6" w:name="报告日期"/>
            <w:r>
              <w:rPr>
                <w:rFonts w:hint="eastAsia" w:ascii="宋体" w:hAnsi="宋体"/>
                <w:szCs w:val="21"/>
              </w:rPr>
              <w:t>2024年12月27日</w:t>
            </w:r>
            <w:bookmarkEnd w:id="6"/>
          </w:p>
        </w:tc>
      </w:tr>
    </w:tbl>
    <w:p>
      <w:pPr>
        <w:rPr>
          <w:rFonts w:ascii="宋体" w:hAnsi="宋体"/>
          <w:lang w:val="en-US"/>
        </w:rPr>
      </w:pPr>
    </w:p>
    <w:p>
      <w:pPr>
        <w:jc w:val="center"/>
        <w:rPr>
          <w:rFonts w:ascii="宋体" w:hAnsi="宋体"/>
          <w:b/>
          <w:bCs/>
          <w:sz w:val="30"/>
          <w:szCs w:val="32"/>
        </w:rPr>
      </w:pPr>
      <w:bookmarkStart w:id="7" w:name="二维码"/>
      <w:bookmarkEnd w:id="7"/>
      <w:r>
        <w:drawing>
          <wp:inline distT="0" distB="0" distL="0" distR="0">
            <wp:extent cx="1514475" cy="1514475"/>
            <wp:effectExtent l="0" t="0" r="0" b="0"/>
            <wp:docPr id="61" name="图片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图片 6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9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pStyle w:val="16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>
            <w:pPr>
              <w:pStyle w:val="16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>
              <w:rPr>
                <w:rFonts w:hint="eastAsia" w:ascii="宋体" w:hAnsi="宋体"/>
              </w:rPr>
              <w:t>能耗计算BESI2024</w:t>
            </w:r>
            <w:bookmarkEnd w:id="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>
              <w:rPr>
                <w:rFonts w:hint="eastAsia" w:ascii="宋体" w:hAnsi="宋体"/>
                <w:szCs w:val="18"/>
              </w:rPr>
              <w:t>20240430(SP1)</w:t>
            </w:r>
            <w:bookmarkEnd w:id="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bottom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cs="宋体"/>
                <w:szCs w:val="18"/>
                <w:lang w:val="zh-CN"/>
              </w:rPr>
              <w:t>北京绿建软件股份有限公司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>
              <w:rPr>
                <w:rFonts w:hint="eastAsia" w:ascii="宋体" w:hAnsi="宋体"/>
                <w:szCs w:val="18"/>
              </w:rPr>
              <w:t>T18336362414</w:t>
            </w:r>
            <w:bookmarkEnd w:id="10"/>
            <w:r>
              <w:rPr>
                <w:rFonts w:hint="eastAsia" w:ascii="宋体" w:hAnsi="宋体"/>
                <w:szCs w:val="18"/>
              </w:rPr>
              <w:t xml:space="preserve"> </w:t>
            </w:r>
          </w:p>
        </w:tc>
      </w:tr>
    </w:tbl>
    <w:p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>
      <w:pPr>
        <w:pStyle w:val="17"/>
        <w:tabs>
          <w:tab w:val="right" w:leader="underscore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_Toc13818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_Toc13818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7"/>
        <w:tabs>
          <w:tab w:val="right" w:leader="underscore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_Toc23101 </w:instrText>
      </w:r>
      <w:r>
        <w:fldChar w:fldCharType="separate"/>
      </w:r>
      <w:r>
        <w:rPr>
          <w:rFonts w:hint="eastAsia"/>
        </w:rPr>
        <w:t>2 计算依据</w:t>
      </w:r>
      <w:r>
        <w:tab/>
      </w:r>
      <w:r>
        <w:fldChar w:fldCharType="begin"/>
      </w:r>
      <w:r>
        <w:instrText xml:space="preserve"> PAGEREF _Toc23101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7"/>
        <w:tabs>
          <w:tab w:val="right" w:leader="underscore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_Toc24626 </w:instrText>
      </w:r>
      <w:r>
        <w:fldChar w:fldCharType="separate"/>
      </w:r>
      <w:r>
        <w:rPr>
          <w:rFonts w:hint="eastAsia"/>
        </w:rPr>
        <w:t>3 计算要求</w:t>
      </w:r>
      <w:r>
        <w:tab/>
      </w:r>
      <w:r>
        <w:fldChar w:fldCharType="begin"/>
      </w:r>
      <w:r>
        <w:instrText xml:space="preserve"> PAGEREF _Toc24626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8"/>
        <w:tabs>
          <w:tab w:val="right" w:leader="underscore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_Toc20166 </w:instrText>
      </w:r>
      <w:r>
        <w:fldChar w:fldCharType="separate"/>
      </w:r>
      <w:r>
        <w:rPr>
          <w:rFonts w:hint="eastAsia"/>
          <w:kern w:val="2"/>
          <w:lang w:val="en-GB"/>
        </w:rPr>
        <w:t xml:space="preserve">3.1 </w:t>
      </w:r>
      <w:r>
        <w:rPr>
          <w:rFonts w:hint="eastAsia"/>
          <w:kern w:val="2"/>
        </w:rPr>
        <w:t>计算目标</w:t>
      </w:r>
      <w:r>
        <w:tab/>
      </w:r>
      <w:r>
        <w:fldChar w:fldCharType="begin"/>
      </w:r>
      <w:r>
        <w:instrText xml:space="preserve"> PAGEREF _Toc20166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8"/>
        <w:tabs>
          <w:tab w:val="right" w:leader="underscore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_Toc14237 </w:instrText>
      </w:r>
      <w:r>
        <w:fldChar w:fldCharType="separate"/>
      </w:r>
      <w:r>
        <w:rPr>
          <w:rFonts w:hint="eastAsia"/>
          <w:kern w:val="2"/>
          <w:lang w:val="en-GB"/>
        </w:rPr>
        <w:t xml:space="preserve">3.2 </w:t>
      </w:r>
      <w:r>
        <w:rPr>
          <w:rFonts w:hint="eastAsia"/>
          <w:kern w:val="2"/>
        </w:rPr>
        <w:t>计算方法</w:t>
      </w:r>
      <w:r>
        <w:tab/>
      </w:r>
      <w:r>
        <w:fldChar w:fldCharType="begin"/>
      </w:r>
      <w:r>
        <w:instrText xml:space="preserve"> PAGEREF _Toc14237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tabs>
          <w:tab w:val="right" w:leader="underscore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_Toc32146 </w:instrText>
      </w:r>
      <w:r>
        <w:fldChar w:fldCharType="separate"/>
      </w:r>
      <w:r>
        <w:rPr>
          <w:rFonts w:hint="eastAsia"/>
        </w:rPr>
        <w:t>4 软件介绍</w:t>
      </w:r>
      <w:r>
        <w:tab/>
      </w:r>
      <w:r>
        <w:fldChar w:fldCharType="begin"/>
      </w:r>
      <w:r>
        <w:instrText xml:space="preserve"> PAGEREF _Toc32146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tabs>
          <w:tab w:val="right" w:leader="underscore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_Toc4020 </w:instrText>
      </w:r>
      <w:r>
        <w:fldChar w:fldCharType="separate"/>
      </w:r>
      <w:r>
        <w:rPr>
          <w:rFonts w:hint="eastAsia"/>
        </w:rPr>
        <w:t>5 气象数据</w:t>
      </w:r>
      <w:r>
        <w:tab/>
      </w:r>
      <w:r>
        <w:fldChar w:fldCharType="begin"/>
      </w:r>
      <w:r>
        <w:instrText xml:space="preserve"> PAGEREF _Toc4020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8"/>
        <w:tabs>
          <w:tab w:val="right" w:leader="underscore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_Toc15614 </w:instrText>
      </w:r>
      <w:r>
        <w:fldChar w:fldCharType="separate"/>
      </w:r>
      <w:r>
        <w:rPr>
          <w:rFonts w:hint="eastAsia"/>
          <w:lang w:val="en-GB"/>
        </w:rPr>
        <w:t xml:space="preserve">5.1 </w:t>
      </w:r>
      <w:r>
        <w:rPr>
          <w:rFonts w:hint="eastAsia"/>
        </w:rPr>
        <w:t>气象地点</w:t>
      </w:r>
      <w:r>
        <w:tab/>
      </w:r>
      <w:r>
        <w:fldChar w:fldCharType="begin"/>
      </w:r>
      <w:r>
        <w:instrText xml:space="preserve"> PAGEREF _Toc15614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8"/>
        <w:tabs>
          <w:tab w:val="right" w:leader="underscore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_Toc6913 </w:instrText>
      </w:r>
      <w:r>
        <w:fldChar w:fldCharType="separate"/>
      </w:r>
      <w:r>
        <w:rPr>
          <w:rFonts w:hint="eastAsia"/>
          <w:lang w:val="en-GB"/>
        </w:rPr>
        <w:t xml:space="preserve">5.2 </w:t>
      </w:r>
      <w:r>
        <w:rPr>
          <w:rFonts w:hint="eastAsia"/>
        </w:rPr>
        <w:t>逐日干球温度表</w:t>
      </w:r>
      <w:r>
        <w:tab/>
      </w:r>
      <w:r>
        <w:fldChar w:fldCharType="begin"/>
      </w:r>
      <w:r>
        <w:instrText xml:space="preserve"> PAGEREF _Toc6913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8"/>
        <w:tabs>
          <w:tab w:val="right" w:leader="underscore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_Toc23683 </w:instrText>
      </w:r>
      <w:r>
        <w:fldChar w:fldCharType="separate"/>
      </w:r>
      <w:r>
        <w:rPr>
          <w:rFonts w:hint="eastAsia"/>
          <w:lang w:val="en-GB"/>
        </w:rPr>
        <w:t xml:space="preserve">5.3 </w:t>
      </w:r>
      <w:r>
        <w:rPr>
          <w:rFonts w:hint="eastAsia"/>
        </w:rPr>
        <w:t>逐月辐照量表</w:t>
      </w:r>
      <w:r>
        <w:tab/>
      </w:r>
      <w:r>
        <w:fldChar w:fldCharType="begin"/>
      </w:r>
      <w:r>
        <w:instrText xml:space="preserve"> PAGEREF _Toc23683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8"/>
        <w:tabs>
          <w:tab w:val="right" w:leader="underscore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_Toc7628 </w:instrText>
      </w:r>
      <w:r>
        <w:fldChar w:fldCharType="separate"/>
      </w:r>
      <w:r>
        <w:rPr>
          <w:rFonts w:hint="eastAsia"/>
          <w:lang w:val="en-GB"/>
        </w:rPr>
        <w:t xml:space="preserve">5.4 </w:t>
      </w:r>
      <w:r>
        <w:rPr>
          <w:rFonts w:hint="eastAsia"/>
        </w:rPr>
        <w:t>峰值工况</w:t>
      </w:r>
      <w:r>
        <w:tab/>
      </w:r>
      <w:r>
        <w:fldChar w:fldCharType="begin"/>
      </w:r>
      <w:r>
        <w:instrText xml:space="preserve"> PAGEREF _Toc7628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7"/>
        <w:tabs>
          <w:tab w:val="right" w:leader="underscore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_Toc16181 </w:instrText>
      </w:r>
      <w:r>
        <w:fldChar w:fldCharType="separate"/>
      </w:r>
      <w:r>
        <w:rPr>
          <w:rFonts w:hint="eastAsia"/>
        </w:rPr>
        <w:t xml:space="preserve">6 </w:t>
      </w:r>
      <w:r>
        <w:t>围护结构</w:t>
      </w:r>
      <w:r>
        <w:tab/>
      </w:r>
      <w:r>
        <w:fldChar w:fldCharType="begin"/>
      </w:r>
      <w:r>
        <w:instrText xml:space="preserve"> PAGEREF _Toc16181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8"/>
        <w:tabs>
          <w:tab w:val="right" w:leader="underscore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_Toc1816 </w:instrText>
      </w:r>
      <w:r>
        <w:fldChar w:fldCharType="separate"/>
      </w:r>
      <w:r>
        <w:rPr>
          <w:rFonts w:hint="eastAsia"/>
          <w:lang w:val="en-GB"/>
        </w:rPr>
        <w:t xml:space="preserve">6.1 </w:t>
      </w:r>
      <w:r>
        <w:t>工程材料</w:t>
      </w:r>
      <w:r>
        <w:tab/>
      </w:r>
      <w:r>
        <w:fldChar w:fldCharType="begin"/>
      </w:r>
      <w:r>
        <w:instrText xml:space="preserve"> PAGEREF _Toc1816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8"/>
        <w:tabs>
          <w:tab w:val="right" w:leader="underscore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_Toc22344 </w:instrText>
      </w:r>
      <w:r>
        <w:fldChar w:fldCharType="separate"/>
      </w:r>
      <w:r>
        <w:rPr>
          <w:rFonts w:hint="eastAsia"/>
          <w:lang w:val="en-GB"/>
        </w:rPr>
        <w:t xml:space="preserve">6.2 </w:t>
      </w:r>
      <w:r>
        <w:t>围护结构作法简要说明</w:t>
      </w:r>
      <w:r>
        <w:tab/>
      </w:r>
      <w:r>
        <w:fldChar w:fldCharType="begin"/>
      </w:r>
      <w:r>
        <w:instrText xml:space="preserve"> PAGEREF _Toc22344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7"/>
        <w:tabs>
          <w:tab w:val="right" w:leader="underscore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_Toc10910 </w:instrText>
      </w:r>
      <w:r>
        <w:fldChar w:fldCharType="separate"/>
      </w:r>
      <w:r>
        <w:rPr>
          <w:rFonts w:hint="eastAsia"/>
        </w:rPr>
        <w:t xml:space="preserve">7 </w:t>
      </w:r>
      <w:r>
        <w:t>围护结构概况</w:t>
      </w:r>
      <w:r>
        <w:tab/>
      </w:r>
      <w:r>
        <w:fldChar w:fldCharType="begin"/>
      </w:r>
      <w:r>
        <w:instrText xml:space="preserve"> PAGEREF _Toc10910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7"/>
        <w:tabs>
          <w:tab w:val="right" w:leader="underscore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_Toc29334 </w:instrText>
      </w:r>
      <w:r>
        <w:fldChar w:fldCharType="separate"/>
      </w:r>
      <w:r>
        <w:rPr>
          <w:rFonts w:hint="eastAsia"/>
        </w:rPr>
        <w:t xml:space="preserve">8 </w:t>
      </w:r>
      <w:r>
        <w:t>设计建筑</w:t>
      </w:r>
      <w:r>
        <w:tab/>
      </w:r>
      <w:r>
        <w:fldChar w:fldCharType="begin"/>
      </w:r>
      <w:r>
        <w:instrText xml:space="preserve"> PAGEREF _Toc29334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8"/>
        <w:tabs>
          <w:tab w:val="right" w:leader="underscore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_Toc27572 </w:instrText>
      </w:r>
      <w:r>
        <w:fldChar w:fldCharType="separate"/>
      </w:r>
      <w:r>
        <w:rPr>
          <w:rFonts w:hint="eastAsia"/>
          <w:lang w:val="en-GB"/>
        </w:rPr>
        <w:t xml:space="preserve">8.1 </w:t>
      </w:r>
      <w:r>
        <w:t>房间类型</w:t>
      </w:r>
      <w:r>
        <w:tab/>
      </w:r>
      <w:r>
        <w:fldChar w:fldCharType="begin"/>
      </w:r>
      <w:r>
        <w:instrText xml:space="preserve"> PAGEREF _Toc27572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3"/>
        <w:tabs>
          <w:tab w:val="right" w:leader="underscore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_Toc2170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8.1.1 </w:t>
      </w:r>
      <w:r>
        <w:t>房间参数表</w:t>
      </w:r>
      <w:r>
        <w:tab/>
      </w:r>
      <w:r>
        <w:fldChar w:fldCharType="begin"/>
      </w:r>
      <w:r>
        <w:instrText xml:space="preserve"> PAGEREF _Toc2170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3"/>
        <w:tabs>
          <w:tab w:val="right" w:leader="underscore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_Toc26679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8.1.2 </w:t>
      </w:r>
      <w:r>
        <w:t>作息时间表</w:t>
      </w:r>
      <w:r>
        <w:tab/>
      </w:r>
      <w:r>
        <w:fldChar w:fldCharType="begin"/>
      </w:r>
      <w:r>
        <w:instrText xml:space="preserve"> PAGEREF _Toc26679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8"/>
        <w:tabs>
          <w:tab w:val="right" w:leader="underscore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_Toc31623 </w:instrText>
      </w:r>
      <w:r>
        <w:fldChar w:fldCharType="separate"/>
      </w:r>
      <w:r>
        <w:rPr>
          <w:rFonts w:hint="eastAsia"/>
          <w:lang w:val="en-GB"/>
        </w:rPr>
        <w:t xml:space="preserve">8.2 </w:t>
      </w:r>
      <w:r>
        <w:t>系统类型</w:t>
      </w:r>
      <w:r>
        <w:tab/>
      </w:r>
      <w:r>
        <w:fldChar w:fldCharType="begin"/>
      </w:r>
      <w:r>
        <w:instrText xml:space="preserve"> PAGEREF _Toc31623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3"/>
        <w:tabs>
          <w:tab w:val="right" w:leader="underscore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_Toc27631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8.2.1 </w:t>
      </w:r>
      <w:r>
        <w:t>系统分区</w:t>
      </w:r>
      <w:r>
        <w:tab/>
      </w:r>
      <w:r>
        <w:fldChar w:fldCharType="begin"/>
      </w:r>
      <w:r>
        <w:instrText xml:space="preserve"> PAGEREF _Toc27631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3"/>
        <w:tabs>
          <w:tab w:val="right" w:leader="underscore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_Toc5597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8.2.2 </w:t>
      </w:r>
      <w:r>
        <w:t>热回收参数</w:t>
      </w:r>
      <w:r>
        <w:tab/>
      </w:r>
      <w:r>
        <w:fldChar w:fldCharType="begin"/>
      </w:r>
      <w:r>
        <w:instrText xml:space="preserve"> PAGEREF _Toc5597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8"/>
        <w:tabs>
          <w:tab w:val="right" w:leader="underscore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_Toc30739 </w:instrText>
      </w:r>
      <w:r>
        <w:fldChar w:fldCharType="separate"/>
      </w:r>
      <w:r>
        <w:rPr>
          <w:rFonts w:hint="eastAsia"/>
          <w:lang w:val="en-GB"/>
        </w:rPr>
        <w:t xml:space="preserve">8.3 </w:t>
      </w:r>
      <w:r>
        <w:t>制冷系统</w:t>
      </w:r>
      <w:r>
        <w:tab/>
      </w:r>
      <w:r>
        <w:fldChar w:fldCharType="begin"/>
      </w:r>
      <w:r>
        <w:instrText xml:space="preserve"> PAGEREF _Toc30739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3"/>
        <w:tabs>
          <w:tab w:val="right" w:leader="underscore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_Toc32035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8.3.1 </w:t>
      </w:r>
      <w:r>
        <w:t>多联机/单元式空调能耗</w:t>
      </w:r>
      <w:r>
        <w:tab/>
      </w:r>
      <w:r>
        <w:fldChar w:fldCharType="begin"/>
      </w:r>
      <w:r>
        <w:instrText xml:space="preserve"> PAGEREF _Toc32035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8"/>
        <w:tabs>
          <w:tab w:val="right" w:leader="underscore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_Toc18378 </w:instrText>
      </w:r>
      <w:r>
        <w:fldChar w:fldCharType="separate"/>
      </w:r>
      <w:r>
        <w:rPr>
          <w:rFonts w:hint="eastAsia"/>
          <w:lang w:val="en-GB"/>
        </w:rPr>
        <w:t xml:space="preserve">8.4 </w:t>
      </w:r>
      <w:r>
        <w:t>负荷分项统计</w:t>
      </w:r>
      <w:r>
        <w:tab/>
      </w:r>
      <w:r>
        <w:fldChar w:fldCharType="begin"/>
      </w:r>
      <w:r>
        <w:instrText xml:space="preserve"> PAGEREF _Toc18378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8"/>
        <w:tabs>
          <w:tab w:val="right" w:leader="underscore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_Toc893 </w:instrText>
      </w:r>
      <w:r>
        <w:fldChar w:fldCharType="separate"/>
      </w:r>
      <w:r>
        <w:rPr>
          <w:rFonts w:hint="eastAsia"/>
          <w:lang w:val="en-GB"/>
        </w:rPr>
        <w:t xml:space="preserve">8.5 </w:t>
      </w:r>
      <w:r>
        <w:t>逐月负荷表</w:t>
      </w:r>
      <w:r>
        <w:tab/>
      </w:r>
      <w:r>
        <w:fldChar w:fldCharType="begin"/>
      </w:r>
      <w:r>
        <w:instrText xml:space="preserve"> PAGEREF _Toc893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8"/>
        <w:tabs>
          <w:tab w:val="right" w:leader="underscore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_Toc16866 </w:instrText>
      </w:r>
      <w:r>
        <w:fldChar w:fldCharType="separate"/>
      </w:r>
      <w:r>
        <w:rPr>
          <w:rFonts w:hint="eastAsia"/>
          <w:lang w:val="en-GB"/>
        </w:rPr>
        <w:t xml:space="preserve">8.6 </w:t>
      </w:r>
      <w:r>
        <w:t>逐月电耗</w:t>
      </w:r>
      <w:r>
        <w:tab/>
      </w:r>
      <w:r>
        <w:fldChar w:fldCharType="begin"/>
      </w:r>
      <w:r>
        <w:instrText xml:space="preserve"> PAGEREF _Toc16866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7"/>
        <w:tabs>
          <w:tab w:val="right" w:leader="underscore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_Toc9451 </w:instrText>
      </w:r>
      <w:r>
        <w:fldChar w:fldCharType="separate"/>
      </w:r>
      <w:r>
        <w:rPr>
          <w:rFonts w:hint="eastAsia"/>
        </w:rPr>
        <w:t xml:space="preserve">9 </w:t>
      </w:r>
      <w:r>
        <w:t>参照建筑</w:t>
      </w:r>
      <w:r>
        <w:tab/>
      </w:r>
      <w:r>
        <w:fldChar w:fldCharType="begin"/>
      </w:r>
      <w:r>
        <w:instrText xml:space="preserve"> PAGEREF _Toc9451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8"/>
        <w:tabs>
          <w:tab w:val="right" w:leader="underscore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_Toc2324 </w:instrText>
      </w:r>
      <w:r>
        <w:fldChar w:fldCharType="separate"/>
      </w:r>
      <w:r>
        <w:rPr>
          <w:rFonts w:hint="eastAsia"/>
          <w:lang w:val="en-GB"/>
        </w:rPr>
        <w:t xml:space="preserve">9.1 </w:t>
      </w:r>
      <w:r>
        <w:t>房间类型</w:t>
      </w:r>
      <w:r>
        <w:tab/>
      </w:r>
      <w:r>
        <w:fldChar w:fldCharType="begin"/>
      </w:r>
      <w:r>
        <w:instrText xml:space="preserve"> PAGEREF _Toc2324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3"/>
        <w:tabs>
          <w:tab w:val="right" w:leader="underscore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_Toc15612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9.1.1 </w:t>
      </w:r>
      <w:r>
        <w:t>房间参数表</w:t>
      </w:r>
      <w:r>
        <w:tab/>
      </w:r>
      <w:r>
        <w:fldChar w:fldCharType="begin"/>
      </w:r>
      <w:r>
        <w:instrText xml:space="preserve"> PAGEREF _Toc15612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3"/>
        <w:tabs>
          <w:tab w:val="right" w:leader="underscore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_Toc10123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9.1.2 </w:t>
      </w:r>
      <w:r>
        <w:t>作息时间表</w:t>
      </w:r>
      <w:r>
        <w:tab/>
      </w:r>
      <w:r>
        <w:fldChar w:fldCharType="begin"/>
      </w:r>
      <w:r>
        <w:instrText xml:space="preserve"> PAGEREF _Toc10123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8"/>
        <w:tabs>
          <w:tab w:val="right" w:leader="underscore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_Toc7864 </w:instrText>
      </w:r>
      <w:r>
        <w:fldChar w:fldCharType="separate"/>
      </w:r>
      <w:r>
        <w:rPr>
          <w:rFonts w:hint="eastAsia"/>
          <w:lang w:val="en-GB"/>
        </w:rPr>
        <w:t xml:space="preserve">9.2 </w:t>
      </w:r>
      <w:r>
        <w:t>制冷系统</w:t>
      </w:r>
      <w:r>
        <w:tab/>
      </w:r>
      <w:r>
        <w:fldChar w:fldCharType="begin"/>
      </w:r>
      <w:r>
        <w:instrText xml:space="preserve"> PAGEREF _Toc7864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8"/>
        <w:tabs>
          <w:tab w:val="right" w:leader="underscore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_Toc30606 </w:instrText>
      </w:r>
      <w:r>
        <w:fldChar w:fldCharType="separate"/>
      </w:r>
      <w:r>
        <w:rPr>
          <w:rFonts w:hint="eastAsia"/>
          <w:lang w:val="en-GB"/>
        </w:rPr>
        <w:t xml:space="preserve">9.3 </w:t>
      </w:r>
      <w:r>
        <w:t>负荷分项统计</w:t>
      </w:r>
      <w:r>
        <w:tab/>
      </w:r>
      <w:r>
        <w:fldChar w:fldCharType="begin"/>
      </w:r>
      <w:r>
        <w:instrText xml:space="preserve"> PAGEREF _Toc30606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8"/>
        <w:tabs>
          <w:tab w:val="right" w:leader="underscore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_Toc18730 </w:instrText>
      </w:r>
      <w:r>
        <w:fldChar w:fldCharType="separate"/>
      </w:r>
      <w:r>
        <w:rPr>
          <w:rFonts w:hint="eastAsia"/>
          <w:lang w:val="en-GB"/>
        </w:rPr>
        <w:t xml:space="preserve">9.4 </w:t>
      </w:r>
      <w:r>
        <w:t>逐月负荷表</w:t>
      </w:r>
      <w:r>
        <w:tab/>
      </w:r>
      <w:r>
        <w:fldChar w:fldCharType="begin"/>
      </w:r>
      <w:r>
        <w:instrText xml:space="preserve"> PAGEREF _Toc18730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8"/>
        <w:tabs>
          <w:tab w:val="right" w:leader="underscore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_Toc14962 </w:instrText>
      </w:r>
      <w:r>
        <w:fldChar w:fldCharType="separate"/>
      </w:r>
      <w:r>
        <w:rPr>
          <w:rFonts w:hint="eastAsia"/>
          <w:lang w:val="en-GB"/>
        </w:rPr>
        <w:t xml:space="preserve">9.5 </w:t>
      </w:r>
      <w:r>
        <w:t>逐月电耗</w:t>
      </w:r>
      <w:r>
        <w:tab/>
      </w:r>
      <w:r>
        <w:fldChar w:fldCharType="begin"/>
      </w:r>
      <w:r>
        <w:instrText xml:space="preserve"> PAGEREF _Toc14962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7"/>
        <w:tabs>
          <w:tab w:val="right" w:leader="underscore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_Toc1269 </w:instrText>
      </w:r>
      <w:r>
        <w:fldChar w:fldCharType="separate"/>
      </w:r>
      <w:r>
        <w:rPr>
          <w:rFonts w:hint="eastAsia"/>
        </w:rPr>
        <w:t xml:space="preserve">10 </w:t>
      </w:r>
      <w:r>
        <w:t>计算结果</w:t>
      </w:r>
      <w:r>
        <w:tab/>
      </w:r>
      <w:r>
        <w:fldChar w:fldCharType="begin"/>
      </w:r>
      <w:r>
        <w:instrText xml:space="preserve"> PAGEREF _Toc1269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>
      <w:pPr>
        <w:pStyle w:val="17"/>
        <w:tabs>
          <w:tab w:val="right" w:leader="underscore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_Toc6220 </w:instrText>
      </w:r>
      <w:r>
        <w:fldChar w:fldCharType="separate"/>
      </w:r>
      <w:r>
        <w:rPr>
          <w:rFonts w:hint="eastAsia"/>
        </w:rPr>
        <w:t xml:space="preserve">11 </w:t>
      </w:r>
      <w:r>
        <w:t>绿色建筑性能评估得分</w:t>
      </w:r>
      <w:r>
        <w:tab/>
      </w:r>
      <w:r>
        <w:fldChar w:fldCharType="begin"/>
      </w:r>
      <w:r>
        <w:instrText xml:space="preserve"> PAGEREF _Toc6220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>
      <w:pPr>
        <w:pStyle w:val="17"/>
        <w:tabs>
          <w:tab w:val="right" w:leader="underscore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_Toc23510 </w:instrText>
      </w:r>
      <w:r>
        <w:fldChar w:fldCharType="separate"/>
      </w:r>
      <w:r>
        <w:rPr>
          <w:rFonts w:hint="eastAsia"/>
        </w:rPr>
        <w:t xml:space="preserve">12 </w:t>
      </w:r>
      <w:r>
        <w:t>附录</w:t>
      </w:r>
      <w:r>
        <w:tab/>
      </w:r>
      <w:r>
        <w:fldChar w:fldCharType="begin"/>
      </w:r>
      <w:r>
        <w:instrText xml:space="preserve"> PAGEREF _Toc23510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>
      <w:pPr>
        <w:pStyle w:val="18"/>
        <w:tabs>
          <w:tab w:val="right" w:leader="underscore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_Toc22007 </w:instrText>
      </w:r>
      <w:r>
        <w:fldChar w:fldCharType="separate"/>
      </w:r>
      <w:r>
        <w:rPr>
          <w:rFonts w:hint="eastAsia"/>
          <w:lang w:val="en-GB"/>
        </w:rPr>
        <w:t xml:space="preserve">12.1 </w:t>
      </w:r>
      <w:r>
        <w:t>工作日/节假日人员逐时在室率(%)</w:t>
      </w:r>
      <w:r>
        <w:tab/>
      </w:r>
      <w:r>
        <w:fldChar w:fldCharType="begin"/>
      </w:r>
      <w:r>
        <w:instrText xml:space="preserve"> PAGEREF _Toc22007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>
      <w:pPr>
        <w:pStyle w:val="18"/>
        <w:tabs>
          <w:tab w:val="right" w:leader="underscore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_Toc8458 </w:instrText>
      </w:r>
      <w:r>
        <w:fldChar w:fldCharType="separate"/>
      </w:r>
      <w:r>
        <w:rPr>
          <w:rFonts w:hint="eastAsia"/>
          <w:lang w:val="en-GB"/>
        </w:rPr>
        <w:t xml:space="preserve">12.2 </w:t>
      </w:r>
      <w:r>
        <w:t>工作日/节假日照明开关时间表(%)</w:t>
      </w:r>
      <w:r>
        <w:tab/>
      </w:r>
      <w:r>
        <w:fldChar w:fldCharType="begin"/>
      </w:r>
      <w:r>
        <w:instrText xml:space="preserve"> PAGEREF _Toc8458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>
      <w:pPr>
        <w:pStyle w:val="18"/>
        <w:tabs>
          <w:tab w:val="right" w:leader="underscore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_Toc15454 </w:instrText>
      </w:r>
      <w:r>
        <w:fldChar w:fldCharType="separate"/>
      </w:r>
      <w:r>
        <w:rPr>
          <w:rFonts w:hint="eastAsia"/>
          <w:lang w:val="en-GB"/>
        </w:rPr>
        <w:t xml:space="preserve">12.3 </w:t>
      </w:r>
      <w:r>
        <w:t>工作日/节假日设备逐时使用率(%)</w:t>
      </w:r>
      <w:r>
        <w:tab/>
      </w:r>
      <w:r>
        <w:fldChar w:fldCharType="begin"/>
      </w:r>
      <w:r>
        <w:instrText xml:space="preserve"> PAGEREF _Toc15454 \h 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>
      <w:pPr>
        <w:pStyle w:val="18"/>
        <w:tabs>
          <w:tab w:val="right" w:leader="underscore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_Toc14820 </w:instrText>
      </w:r>
      <w:r>
        <w:fldChar w:fldCharType="separate"/>
      </w:r>
      <w:r>
        <w:rPr>
          <w:rFonts w:hint="eastAsia"/>
          <w:lang w:val="en-GB"/>
        </w:rPr>
        <w:t xml:space="preserve">12.4 </w:t>
      </w:r>
      <w:r>
        <w:t>工作日/节假日空调系统运行时间表(1:开,0:关)</w:t>
      </w:r>
      <w:r>
        <w:tab/>
      </w:r>
      <w:r>
        <w:fldChar w:fldCharType="begin"/>
      </w:r>
      <w:r>
        <w:instrText xml:space="preserve"> PAGEREF _Toc14820 \h </w:instrText>
      </w:r>
      <w:r>
        <w:fldChar w:fldCharType="separate"/>
      </w:r>
      <w:r>
        <w:t>22</w:t>
      </w:r>
      <w:r>
        <w:fldChar w:fldCharType="end"/>
      </w:r>
      <w:r>
        <w:fldChar w:fldCharType="end"/>
      </w:r>
    </w:p>
    <w:p>
      <w:pPr>
        <w:pStyle w:val="18"/>
        <w:tabs>
          <w:tab w:val="right" w:leader="underscore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_Toc17215 </w:instrText>
      </w:r>
      <w:r>
        <w:fldChar w:fldCharType="separate"/>
      </w:r>
      <w:r>
        <w:rPr>
          <w:rFonts w:hint="eastAsia"/>
          <w:lang w:val="en-GB"/>
        </w:rPr>
        <w:t xml:space="preserve">12.5 </w:t>
      </w:r>
      <w:r>
        <w:t>工作日/节假日新风运行时间表(%)</w:t>
      </w:r>
      <w:r>
        <w:tab/>
      </w:r>
      <w:r>
        <w:fldChar w:fldCharType="begin"/>
      </w:r>
      <w:r>
        <w:instrText xml:space="preserve"> PAGEREF _Toc17215 \h </w:instrText>
      </w:r>
      <w:r>
        <w:fldChar w:fldCharType="separate"/>
      </w:r>
      <w:r>
        <w:t>22</w:t>
      </w:r>
      <w:r>
        <w:fldChar w:fldCharType="end"/>
      </w:r>
      <w:r>
        <w:fldChar w:fldCharType="end"/>
      </w:r>
    </w:p>
    <w:p>
      <w:pPr>
        <w:pStyle w:val="17"/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  <w:r>
        <w:fldChar w:fldCharType="end"/>
      </w:r>
    </w:p>
    <w:p>
      <w:pPr>
        <w:pStyle w:val="17"/>
      </w:pPr>
    </w:p>
    <w:p>
      <w:pPr>
        <w:pStyle w:val="2"/>
      </w:pPr>
      <w:bookmarkStart w:id="11" w:name="_Toc13818"/>
      <w:r>
        <w:rPr>
          <w:rFonts w:hint="eastAsia"/>
        </w:rPr>
        <w:t>建筑概况</w:t>
      </w:r>
      <w:bookmarkEnd w:id="11"/>
    </w:p>
    <w:tbl>
      <w:tblPr>
        <w:tblStyle w:val="19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1"/>
        <w:gridCol w:w="3115"/>
        <w:gridCol w:w="31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2" w:name="工程名称"/>
            <w:r>
              <w:t>新建项目</w:t>
            </w:r>
            <w:bookmarkEnd w:id="1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3" w:name="工程地点"/>
            <w:r>
              <w:t>河南-郑州</w:t>
            </w:r>
            <w:bookmarkEnd w:id="1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115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4" w:name="纬度"/>
            <w:r>
              <w:rPr>
                <w:rFonts w:hint="eastAsia" w:ascii="宋体" w:hAnsi="宋体"/>
                <w:lang w:val="en-US"/>
              </w:rPr>
              <w:t>35.00</w:t>
            </w:r>
            <w:bookmarkEnd w:id="14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116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5" w:name="经度"/>
            <w:r>
              <w:rPr>
                <w:rFonts w:hint="eastAsia" w:ascii="宋体" w:hAnsi="宋体"/>
                <w:lang w:val="en-US"/>
              </w:rPr>
              <w:t>113.65</w:t>
            </w:r>
            <w:bookmarkEnd w:id="15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6" w:name="地上建筑面积"/>
            <w:r>
              <w:rPr>
                <w:rFonts w:hint="eastAsia" w:ascii="宋体" w:hAnsi="宋体"/>
                <w:lang w:val="en-US"/>
              </w:rPr>
              <w:t>3620</w:t>
            </w:r>
            <w:bookmarkEnd w:id="16"/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17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1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8" w:name="地上建筑层数"/>
            <w:r>
              <w:rPr>
                <w:rFonts w:hint="eastAsia" w:ascii="宋体" w:hAnsi="宋体"/>
                <w:lang w:val="en-US"/>
              </w:rPr>
              <w:t>3</w:t>
            </w:r>
            <w:bookmarkEnd w:id="18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19" w:name="地下建筑层数"/>
            <w:r>
              <w:t>0</w:t>
            </w:r>
            <w:bookmarkEnd w:id="1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0" w:name="地上建筑高度"/>
            <w:r>
              <w:rPr>
                <w:rFonts w:hint="eastAsia" w:ascii="宋体" w:hAnsi="宋体"/>
                <w:lang w:val="en-US"/>
              </w:rPr>
              <w:t>10.8</w:t>
            </w:r>
            <w:bookmarkEnd w:id="20"/>
            <w:r>
              <w:rPr>
                <w:rFonts w:hint="eastAsia" w:ascii="宋体" w:hAnsi="宋体"/>
                <w:lang w:val="en-US"/>
              </w:rPr>
              <w:t xml:space="preserve">     地下</w:t>
            </w:r>
            <w:bookmarkStart w:id="21" w:name="地下建筑高度"/>
            <w:r>
              <w:rPr>
                <w:rFonts w:hint="eastAsia" w:ascii="宋体" w:hAnsi="宋体"/>
                <w:lang w:val="en-US"/>
              </w:rPr>
              <w:t>0.0</w:t>
            </w:r>
            <w:bookmarkEnd w:id="2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2" w:name="建筑体积"/>
            <w:r>
              <w:t>13033.19</w:t>
            </w:r>
            <w:bookmarkEnd w:id="2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3" w:name="外表面积"/>
            <w:r>
              <w:t>3666.58</w:t>
            </w:r>
            <w:bookmarkEnd w:id="2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4" w:name="北向角度"/>
            <w:r>
              <w:t>105.9</w:t>
            </w:r>
            <w:bookmarkEnd w:id="2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结构类型"/>
            <w:bookmarkEnd w:id="2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外墙ρ"/>
            <w:r>
              <w:rPr>
                <w:rFonts w:hint="eastAsia"/>
              </w:rPr>
              <w:t>0.75</w:t>
            </w:r>
            <w:bookmarkEnd w:id="2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屋顶ρ"/>
            <w:r>
              <w:rPr>
                <w:rFonts w:hint="eastAsia"/>
              </w:rPr>
              <w:t>0.75</w:t>
            </w:r>
            <w:bookmarkEnd w:id="2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</w:pPr>
            <w:bookmarkStart w:id="28" w:name="控温期"/>
            <w:r>
              <w:t>供冷期:5.1-7.7</w:t>
            </w:r>
            <w:bookmarkEnd w:id="28"/>
          </w:p>
        </w:tc>
      </w:tr>
    </w:tbl>
    <w:p>
      <w:pPr>
        <w:pStyle w:val="3"/>
        <w:ind w:firstLine="0" w:firstLineChars="0"/>
        <w:rPr>
          <w:lang w:val="en-US"/>
        </w:rPr>
      </w:pPr>
    </w:p>
    <w:p>
      <w:pPr>
        <w:pStyle w:val="3"/>
        <w:ind w:firstLine="0" w:firstLineChars="0"/>
        <w:rPr>
          <w:lang w:val="en-US"/>
        </w:rPr>
      </w:pPr>
    </w:p>
    <w:p>
      <w:pPr>
        <w:pStyle w:val="2"/>
      </w:pPr>
      <w:bookmarkStart w:id="29" w:name="TitleFormat"/>
      <w:bookmarkStart w:id="30" w:name="_Toc23101"/>
      <w:r>
        <w:rPr>
          <w:rFonts w:hint="eastAsia"/>
        </w:rPr>
        <w:t>计算依据</w:t>
      </w:r>
      <w:bookmarkEnd w:id="29"/>
      <w:bookmarkEnd w:id="30"/>
    </w:p>
    <w:p>
      <w:pPr>
        <w:widowControl w:val="0"/>
        <w:jc w:val="both"/>
        <w:rPr>
          <w:kern w:val="2"/>
          <w:szCs w:val="24"/>
          <w:lang w:val="en-US"/>
        </w:rPr>
      </w:pPr>
      <w:bookmarkStart w:id="31" w:name="计算依据"/>
      <w:bookmarkEnd w:id="31"/>
      <w:r>
        <w:rPr>
          <w:kern w:val="2"/>
          <w:szCs w:val="24"/>
          <w:lang w:val="en-US"/>
        </w:rPr>
        <w:t>1. 《绿色建筑评价标准》(GB/T50378-2019)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 《民用建筑绿色性能计算标准》(JGJ/T 449-2018)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 《建筑能效标识技术标准》(JGJ/T 288-2012)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 《建筑节能与可再生能源利用通用规范》GB55015-2021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5. 《严寒和寒冷地区居住建筑节能设计标准》JGJ 26-2018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6. 《民用建筑热工设计规范》GB50176-2016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7. 《建筑幕墙、门窗通用技术条件》GB/T31433-2015</w:t>
      </w:r>
    </w:p>
    <w:p>
      <w:pPr>
        <w:widowControl w:val="0"/>
        <w:jc w:val="both"/>
        <w:rPr>
          <w:kern w:val="2"/>
          <w:szCs w:val="24"/>
          <w:lang w:val="en-US"/>
        </w:rPr>
      </w:pPr>
    </w:p>
    <w:p>
      <w:pPr>
        <w:pStyle w:val="2"/>
      </w:pPr>
      <w:bookmarkStart w:id="32" w:name="_Toc31856"/>
      <w:bookmarkStart w:id="33" w:name="_Toc24626"/>
      <w:bookmarkStart w:id="34" w:name="_Toc25351"/>
      <w:r>
        <w:rPr>
          <w:rFonts w:hint="eastAsia"/>
        </w:rPr>
        <w:t>计算要求</w:t>
      </w:r>
      <w:bookmarkEnd w:id="32"/>
      <w:bookmarkEnd w:id="33"/>
      <w:bookmarkEnd w:id="34"/>
    </w:p>
    <w:p>
      <w:pPr>
        <w:pStyle w:val="4"/>
        <w:tabs>
          <w:tab w:val="clear" w:pos="578"/>
        </w:tabs>
        <w:rPr>
          <w:kern w:val="2"/>
          <w:sz w:val="21"/>
        </w:rPr>
      </w:pPr>
      <w:bookmarkStart w:id="35" w:name="_Toc20530"/>
      <w:bookmarkStart w:id="36" w:name="_Toc20166"/>
      <w:bookmarkStart w:id="37" w:name="_Toc3445"/>
      <w:r>
        <w:rPr>
          <w:rFonts w:hint="eastAsia"/>
          <w:kern w:val="2"/>
          <w:sz w:val="21"/>
        </w:rPr>
        <w:t>计算目标</w:t>
      </w:r>
      <w:bookmarkEnd w:id="35"/>
      <w:bookmarkEnd w:id="36"/>
      <w:bookmarkEnd w:id="37"/>
    </w:p>
    <w:p>
      <w:pPr>
        <w:spacing w:line="360" w:lineRule="auto"/>
        <w:ind w:firstLine="420" w:firstLineChars="200"/>
        <w:rPr>
          <w:lang w:val="en-US"/>
        </w:rPr>
      </w:pPr>
      <w:bookmarkStart w:id="38" w:name="_Toc6638"/>
      <w:bookmarkStart w:id="39" w:name="_Toc30695"/>
      <w:r>
        <w:rPr>
          <w:rFonts w:hint="eastAsia"/>
          <w:lang w:val="en-US"/>
        </w:rPr>
        <w:t>《绿色建筑评价标准》</w:t>
      </w:r>
      <w:r>
        <w:rPr>
          <w:lang w:val="en-US"/>
        </w:rPr>
        <w:t xml:space="preserve">(GB/T50378-2019) </w:t>
      </w:r>
      <w:r>
        <w:rPr>
          <w:rFonts w:hint="eastAsia"/>
          <w:lang w:val="en-US"/>
        </w:rPr>
        <w:t>第</w:t>
      </w:r>
      <w:r>
        <w:rPr>
          <w:lang w:val="en-US"/>
        </w:rPr>
        <w:t>7.2.8</w:t>
      </w:r>
      <w:r>
        <w:rPr>
          <w:rFonts w:hint="eastAsia"/>
          <w:lang w:val="en-US"/>
        </w:rPr>
        <w:t>条</w:t>
      </w:r>
      <w:r>
        <w:rPr>
          <w:lang w:val="en-US"/>
        </w:rPr>
        <w:t>：</w:t>
      </w:r>
      <w:r>
        <w:rPr>
          <w:rFonts w:hint="eastAsia"/>
          <w:lang w:val="en-US"/>
        </w:rPr>
        <w:t>采取措施</w:t>
      </w:r>
      <w:r>
        <w:rPr>
          <w:lang w:val="en-US"/>
        </w:rPr>
        <w:t>降低建筑能耗，</w:t>
      </w:r>
      <w:r>
        <w:rPr>
          <w:rFonts w:hint="eastAsia"/>
          <w:lang w:val="en-US"/>
        </w:rPr>
        <w:t>评价</w:t>
      </w:r>
      <w:r>
        <w:rPr>
          <w:lang w:val="en-US"/>
        </w:rPr>
        <w:t>总分值</w:t>
      </w:r>
      <w:r>
        <w:rPr>
          <w:rFonts w:hint="eastAsia"/>
          <w:lang w:val="en-US"/>
        </w:rPr>
        <w:t>1</w:t>
      </w:r>
      <w:r>
        <w:rPr>
          <w:lang w:val="en-US"/>
        </w:rPr>
        <w:t>0</w:t>
      </w:r>
      <w:r>
        <w:rPr>
          <w:rFonts w:hint="eastAsia"/>
          <w:lang w:val="en-US"/>
        </w:rPr>
        <w:t>分</w:t>
      </w:r>
      <w:r>
        <w:rPr>
          <w:lang w:val="en-US"/>
        </w:rPr>
        <w:t>。建筑</w:t>
      </w:r>
      <w:r>
        <w:rPr>
          <w:rFonts w:hint="eastAsia"/>
          <w:lang w:val="en-US"/>
        </w:rPr>
        <w:t>能耗</w:t>
      </w:r>
      <w:r>
        <w:rPr>
          <w:lang w:val="en-US"/>
        </w:rPr>
        <w:t>相比国家现行</w:t>
      </w:r>
      <w:r>
        <w:rPr>
          <w:rFonts w:hint="eastAsia"/>
          <w:lang w:val="en-US"/>
        </w:rPr>
        <w:t>有关</w:t>
      </w:r>
      <w:r>
        <w:rPr>
          <w:lang w:val="en-US"/>
        </w:rPr>
        <w:t>建筑节能</w:t>
      </w:r>
      <w:r>
        <w:rPr>
          <w:rFonts w:hint="eastAsia"/>
          <w:lang w:val="en-US"/>
        </w:rPr>
        <w:t>标准</w:t>
      </w:r>
      <w:r>
        <w:rPr>
          <w:lang w:val="en-US"/>
        </w:rPr>
        <w:t>降低</w:t>
      </w:r>
      <w:r>
        <w:rPr>
          <w:rFonts w:hint="eastAsia"/>
          <w:lang w:val="en-US"/>
        </w:rPr>
        <w:t>10</w:t>
      </w:r>
      <w:r>
        <w:rPr>
          <w:lang w:val="en-US"/>
        </w:rPr>
        <w:t>%，得</w:t>
      </w:r>
      <w:r>
        <w:rPr>
          <w:rFonts w:hint="eastAsia"/>
          <w:lang w:val="en-US"/>
        </w:rPr>
        <w:t>5分</w:t>
      </w:r>
      <w:r>
        <w:rPr>
          <w:lang w:val="en-US"/>
        </w:rPr>
        <w:t>；降低</w:t>
      </w:r>
      <w:r>
        <w:rPr>
          <w:rFonts w:hint="eastAsia"/>
          <w:lang w:val="en-US"/>
        </w:rPr>
        <w:t>20</w:t>
      </w:r>
      <w:r>
        <w:rPr>
          <w:lang w:val="en-US"/>
        </w:rPr>
        <w:t>%，得</w:t>
      </w:r>
      <w:r>
        <w:rPr>
          <w:rFonts w:hint="eastAsia"/>
          <w:lang w:val="en-US"/>
        </w:rPr>
        <w:t>10分</w:t>
      </w:r>
      <w:r>
        <w:rPr>
          <w:lang w:val="en-US"/>
        </w:rPr>
        <w:t>。</w:t>
      </w:r>
    </w:p>
    <w:p>
      <w:pPr>
        <w:spacing w:line="360" w:lineRule="auto"/>
        <w:ind w:firstLine="420" w:firstLineChars="200"/>
        <w:rPr>
          <w:szCs w:val="21"/>
          <w:lang w:val="en-US"/>
        </w:rPr>
      </w:pPr>
      <w:r>
        <w:rPr>
          <w:rFonts w:hint="eastAsia"/>
          <w:lang w:val="en-US"/>
        </w:rPr>
        <w:t>《绿色建筑评价标准》</w:t>
      </w:r>
      <w:r>
        <w:rPr>
          <w:lang w:val="en-US"/>
        </w:rPr>
        <w:t xml:space="preserve">(GB/T50378-2019) </w:t>
      </w:r>
      <w:r>
        <w:rPr>
          <w:rFonts w:hint="eastAsia"/>
          <w:lang w:val="en-US"/>
        </w:rPr>
        <w:t>第</w:t>
      </w:r>
      <w:r>
        <w:rPr>
          <w:lang w:val="en-US"/>
        </w:rPr>
        <w:t>9.2.1</w:t>
      </w:r>
      <w:r>
        <w:rPr>
          <w:rFonts w:hint="eastAsia"/>
          <w:lang w:val="en-US"/>
        </w:rPr>
        <w:t>条：采取</w:t>
      </w:r>
      <w:r>
        <w:rPr>
          <w:lang w:val="en-US"/>
        </w:rPr>
        <w:t>措施进一步降低建筑</w:t>
      </w:r>
      <w:r>
        <w:rPr>
          <w:rFonts w:hint="eastAsia"/>
          <w:lang w:val="en-US"/>
        </w:rPr>
        <w:t>供暖空调系统</w:t>
      </w:r>
      <w:r>
        <w:rPr>
          <w:lang w:val="en-US"/>
        </w:rPr>
        <w:t>的能耗，</w:t>
      </w:r>
      <w:r>
        <w:rPr>
          <w:rFonts w:hint="eastAsia"/>
          <w:lang w:val="en-US"/>
        </w:rPr>
        <w:t>评价总分值30分</w:t>
      </w:r>
      <w:r>
        <w:rPr>
          <w:lang w:val="en-US"/>
        </w:rPr>
        <w:t>。建筑</w:t>
      </w:r>
      <w:r>
        <w:rPr>
          <w:rFonts w:hint="eastAsia"/>
          <w:lang w:val="en-US"/>
        </w:rPr>
        <w:t>供暖</w:t>
      </w:r>
      <w:r>
        <w:rPr>
          <w:lang w:val="en-US"/>
        </w:rPr>
        <w:t>空调系统能耗相比国家现行有关</w:t>
      </w:r>
      <w:r>
        <w:rPr>
          <w:rFonts w:hint="eastAsia"/>
          <w:lang w:val="en-US"/>
        </w:rPr>
        <w:t>建筑</w:t>
      </w:r>
      <w:r>
        <w:rPr>
          <w:lang w:val="en-US"/>
        </w:rPr>
        <w:t>节能标准降低</w:t>
      </w:r>
      <w:r>
        <w:rPr>
          <w:rFonts w:hint="eastAsia"/>
          <w:lang w:val="en-US"/>
        </w:rPr>
        <w:t>40</w:t>
      </w:r>
      <w:r>
        <w:rPr>
          <w:lang w:val="en-US"/>
        </w:rPr>
        <w:t>%，得</w:t>
      </w:r>
      <w:r>
        <w:rPr>
          <w:rFonts w:hint="eastAsia"/>
          <w:lang w:val="en-US"/>
        </w:rPr>
        <w:t>10分</w:t>
      </w:r>
      <w:r>
        <w:rPr>
          <w:lang w:val="en-US"/>
        </w:rPr>
        <w:t>；每再降低</w:t>
      </w:r>
      <w:r>
        <w:rPr>
          <w:rFonts w:hint="eastAsia"/>
          <w:lang w:val="en-US"/>
        </w:rPr>
        <w:t>10</w:t>
      </w:r>
      <w:r>
        <w:rPr>
          <w:lang w:val="en-US"/>
        </w:rPr>
        <w:t>%，再得</w:t>
      </w:r>
      <w:r>
        <w:rPr>
          <w:rFonts w:hint="eastAsia"/>
          <w:lang w:val="en-US"/>
        </w:rPr>
        <w:t>5分；</w:t>
      </w:r>
      <w:r>
        <w:rPr>
          <w:lang w:val="en-US"/>
        </w:rPr>
        <w:t>最高得</w:t>
      </w:r>
      <w:r>
        <w:rPr>
          <w:rFonts w:hint="eastAsia"/>
          <w:lang w:val="en-US"/>
        </w:rPr>
        <w:t>30分</w:t>
      </w:r>
      <w:r>
        <w:rPr>
          <w:lang w:val="en-US"/>
        </w:rPr>
        <w:t>。</w:t>
      </w:r>
    </w:p>
    <w:p>
      <w:pPr>
        <w:pStyle w:val="4"/>
        <w:tabs>
          <w:tab w:val="clear" w:pos="578"/>
        </w:tabs>
        <w:rPr>
          <w:kern w:val="2"/>
          <w:sz w:val="21"/>
        </w:rPr>
      </w:pPr>
      <w:bookmarkStart w:id="40" w:name="_Toc14237"/>
      <w:r>
        <w:rPr>
          <w:rFonts w:hint="eastAsia"/>
          <w:kern w:val="2"/>
          <w:sz w:val="21"/>
        </w:rPr>
        <w:t>计算方法</w:t>
      </w:r>
      <w:bookmarkEnd w:id="38"/>
      <w:bookmarkEnd w:id="39"/>
      <w:bookmarkEnd w:id="40"/>
    </w:p>
    <w:p>
      <w:pPr>
        <w:pStyle w:val="3"/>
        <w:ind w:firstLine="420"/>
        <w:jc w:val="left"/>
        <w:rPr>
          <w:lang w:val="en-US"/>
        </w:rPr>
      </w:pPr>
      <w:r>
        <w:rPr>
          <w:rFonts w:hint="eastAsia"/>
          <w:lang w:val="en-US"/>
        </w:rPr>
        <w:t>建立参照</w:t>
      </w:r>
      <w:r>
        <w:rPr>
          <w:lang w:val="en-US"/>
        </w:rPr>
        <w:t>建筑，参照建筑的热工参数、</w:t>
      </w:r>
      <w:r>
        <w:rPr>
          <w:rFonts w:hint="eastAsia"/>
          <w:lang w:val="en-US"/>
        </w:rPr>
        <w:t>采暖</w:t>
      </w:r>
      <w:r>
        <w:rPr>
          <w:lang w:val="en-US"/>
        </w:rPr>
        <w:t>空调照明形式及设备满足</w:t>
      </w:r>
      <w:r>
        <w:rPr>
          <w:rFonts w:hint="eastAsia"/>
          <w:lang w:val="en-US"/>
        </w:rPr>
        <w:t>现行</w:t>
      </w:r>
      <w:r>
        <w:rPr>
          <w:lang w:val="en-US"/>
        </w:rPr>
        <w:t>国家节能标准要求</w:t>
      </w:r>
      <w:r>
        <w:rPr>
          <w:rFonts w:hint="eastAsia"/>
          <w:lang w:val="en-US"/>
        </w:rPr>
        <w:t>。</w:t>
      </w:r>
    </w:p>
    <w:p>
      <w:pPr>
        <w:pStyle w:val="3"/>
        <w:ind w:firstLine="420"/>
        <w:jc w:val="left"/>
        <w:rPr>
          <w:lang w:val="en-US"/>
        </w:rPr>
      </w:pPr>
      <w:r>
        <w:rPr>
          <w:rFonts w:hint="eastAsia"/>
          <w:lang w:val="en-US"/>
        </w:rPr>
        <w:t>根据现行行业标准《民用建筑绿色性能计算标准》JGJ/T449的相关规定，分别计算设计建筑及参照建筑的供暖空调和照明系统能耗，计算其节能率并进行得分判定。</w:t>
      </w:r>
    </w:p>
    <w:p>
      <w:pPr>
        <w:pStyle w:val="3"/>
        <w:ind w:firstLine="420"/>
        <w:jc w:val="left"/>
        <w:rPr>
          <w:lang w:val="en-US"/>
        </w:rPr>
      </w:pPr>
      <w:r>
        <w:rPr>
          <w:rFonts w:hint="eastAsia"/>
          <w:lang w:val="en-US"/>
        </w:rPr>
        <w:t>即：建筑综合节能率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（</w:t>
      </w:r>
      <w:r>
        <w:rPr>
          <w:lang w:val="en-US"/>
        </w:rPr>
        <w:t>7.2.8</w:t>
      </w:r>
      <w:r>
        <w:rPr>
          <w:rFonts w:hint="eastAsia"/>
          <w:lang w:val="en-US"/>
        </w:rPr>
        <w:t>条）＝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（参照建筑全年采暖空调照明耗电量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－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设计建筑全年采暖空调照明耗电量）</w:t>
      </w:r>
      <w:r>
        <w:rPr>
          <w:lang w:val="en-US"/>
        </w:rPr>
        <w:t xml:space="preserve"> /  </w:t>
      </w:r>
      <w:r>
        <w:rPr>
          <w:rFonts w:hint="eastAsia"/>
          <w:lang w:val="en-US"/>
        </w:rPr>
        <w:t>参照建筑全年采暖空调照明耗电量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×</w:t>
      </w:r>
      <w:r>
        <w:rPr>
          <w:lang w:val="en-US"/>
        </w:rPr>
        <w:t xml:space="preserve"> 100%</w:t>
      </w:r>
    </w:p>
    <w:p>
      <w:pPr>
        <w:pStyle w:val="3"/>
        <w:ind w:firstLine="840" w:firstLineChars="400"/>
        <w:jc w:val="left"/>
        <w:rPr>
          <w:lang w:val="en-US"/>
        </w:rPr>
      </w:pPr>
      <w:r>
        <w:rPr>
          <w:rFonts w:hint="eastAsia"/>
          <w:lang w:val="en-US"/>
        </w:rPr>
        <w:t>建筑采暖空调节能率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（</w:t>
      </w:r>
      <w:r>
        <w:rPr>
          <w:lang w:val="en-US"/>
        </w:rPr>
        <w:t>9.2.1</w:t>
      </w:r>
      <w:r>
        <w:rPr>
          <w:rFonts w:hint="eastAsia"/>
          <w:lang w:val="en-US"/>
        </w:rPr>
        <w:t>条）＝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（参照建筑全年采暖空调耗电量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－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设计建筑全年采暖空调耗电量）</w:t>
      </w:r>
      <w:r>
        <w:rPr>
          <w:lang w:val="en-US"/>
        </w:rPr>
        <w:t xml:space="preserve"> /  </w:t>
      </w:r>
      <w:r>
        <w:rPr>
          <w:rFonts w:hint="eastAsia"/>
          <w:lang w:val="en-US"/>
        </w:rPr>
        <w:t>参照建筑全年采暖空调耗电量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×</w:t>
      </w:r>
      <w:r>
        <w:rPr>
          <w:lang w:val="en-US"/>
        </w:rPr>
        <w:t xml:space="preserve"> 100%</w:t>
      </w:r>
    </w:p>
    <w:p>
      <w:pPr>
        <w:pStyle w:val="2"/>
      </w:pPr>
      <w:bookmarkStart w:id="41" w:name="_Toc59787735"/>
      <w:bookmarkStart w:id="42" w:name="_Toc59800596"/>
      <w:bookmarkStart w:id="43" w:name="_Toc58336110"/>
      <w:bookmarkStart w:id="44" w:name="_Toc32146"/>
      <w:r>
        <w:rPr>
          <w:rFonts w:hint="eastAsia"/>
        </w:rPr>
        <w:t>软件介绍</w:t>
      </w:r>
      <w:bookmarkEnd w:id="41"/>
      <w:bookmarkEnd w:id="42"/>
      <w:bookmarkEnd w:id="43"/>
      <w:bookmarkEnd w:id="44"/>
    </w:p>
    <w:p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本</w:t>
      </w:r>
      <w:r>
        <w:rPr>
          <w:lang w:val="en-US"/>
        </w:rPr>
        <w:t>报告</w:t>
      </w:r>
      <w:r>
        <w:rPr>
          <w:rFonts w:hint="eastAsia"/>
          <w:lang w:val="en-US"/>
        </w:rPr>
        <w:t>内容由</w:t>
      </w:r>
      <w:bookmarkStart w:id="45" w:name="软件全称＃2"/>
      <w:r>
        <w:rPr>
          <w:rFonts w:hint="eastAsia"/>
          <w:lang w:val="en-US"/>
        </w:rPr>
        <w:t>能耗计算BESI2024</w:t>
      </w:r>
      <w:bookmarkEnd w:id="45"/>
      <w:r>
        <w:rPr>
          <w:rFonts w:hint="eastAsia"/>
          <w:lang w:val="en-US"/>
        </w:rPr>
        <w:t>计算</w:t>
      </w:r>
      <w:r>
        <w:rPr>
          <w:lang w:val="en-US"/>
        </w:rPr>
        <w:t>并输出</w:t>
      </w:r>
      <w:r>
        <w:rPr>
          <w:rFonts w:hint="eastAsia"/>
          <w:lang w:val="en-US"/>
        </w:rPr>
        <w:t>，能耗计算BESI以CAD为</w:t>
      </w:r>
      <w:r>
        <w:rPr>
          <w:lang w:val="en-US"/>
        </w:rPr>
        <w:t>平台，内置</w:t>
      </w:r>
      <w:r>
        <w:rPr>
          <w:rFonts w:hint="eastAsia"/>
          <w:lang w:val="en-US"/>
        </w:rPr>
        <w:t>DOE2内核，可与建筑节能模型无缝对接，精准快速得到动态理想负荷，完美支持从《建筑能效标识技术标准》到《绿色建筑评价标准》要求的节能率，以及建筑全能耗的计算；软件充分考虑工程实际需求，从冷热源、输配水泵到末端风机，覆盖了常见暖通设备的能耗计算；并支持灵活的采暖供冷期、系统划分、运行策略设置等功能以及强大的结果数据分析。</w:t>
      </w:r>
    </w:p>
    <w:p>
      <w:pPr>
        <w:pStyle w:val="2"/>
      </w:pPr>
      <w:bookmarkStart w:id="46" w:name="_Toc4020"/>
      <w:r>
        <w:rPr>
          <w:rFonts w:hint="eastAsia"/>
        </w:rPr>
        <w:t>气象数据</w:t>
      </w:r>
      <w:bookmarkEnd w:id="46"/>
    </w:p>
    <w:p>
      <w:pPr>
        <w:pStyle w:val="4"/>
      </w:pPr>
      <w:bookmarkStart w:id="47" w:name="_Toc15614"/>
      <w:r>
        <w:rPr>
          <w:rFonts w:hint="eastAsia"/>
        </w:rPr>
        <w:t>气象地点</w:t>
      </w:r>
      <w:bookmarkEnd w:id="47"/>
    </w:p>
    <w:p>
      <w:pPr>
        <w:pStyle w:val="3"/>
        <w:ind w:firstLine="420"/>
        <w:rPr>
          <w:lang w:val="en-US"/>
        </w:rPr>
      </w:pPr>
      <w:bookmarkStart w:id="48" w:name="气象数据来源"/>
      <w:r>
        <w:t>河南-郑州, 《建筑节能气象参数标准》</w:t>
      </w:r>
      <w:bookmarkEnd w:id="48"/>
    </w:p>
    <w:p>
      <w:pPr>
        <w:pStyle w:val="4"/>
      </w:pPr>
      <w:bookmarkStart w:id="49" w:name="_Toc6913"/>
      <w:r>
        <w:rPr>
          <w:rFonts w:hint="eastAsia"/>
        </w:rPr>
        <w:t>逐日干球温度表</w:t>
      </w:r>
      <w:bookmarkEnd w:id="49"/>
    </w:p>
    <w:p>
      <w:pPr>
        <w:pStyle w:val="3"/>
        <w:ind w:firstLine="0" w:firstLineChars="0"/>
        <w:rPr>
          <w:lang w:val="en-US"/>
        </w:rPr>
      </w:pPr>
      <w:bookmarkStart w:id="50" w:name="日均干球温度变化表"/>
      <w:bookmarkEnd w:id="50"/>
      <w:r>
        <w:drawing>
          <wp:inline distT="0" distB="0" distL="0" distR="0">
            <wp:extent cx="5667375" cy="2905125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4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</w:pPr>
      <w:bookmarkStart w:id="51" w:name="_Toc23683"/>
      <w:r>
        <w:rPr>
          <w:rFonts w:hint="eastAsia"/>
        </w:rPr>
        <w:t>逐月辐照量表</w:t>
      </w:r>
      <w:bookmarkEnd w:id="51"/>
    </w:p>
    <w:p>
      <w:pPr>
        <w:pStyle w:val="3"/>
        <w:ind w:firstLine="0" w:firstLineChars="0"/>
        <w:rPr>
          <w:lang w:val="en-US"/>
        </w:rPr>
      </w:pPr>
      <w:bookmarkStart w:id="52" w:name="逐月辐照量图表"/>
      <w:bookmarkEnd w:id="52"/>
      <w:r>
        <w:drawing>
          <wp:inline distT="0" distB="0" distL="0" distR="0">
            <wp:extent cx="5667375" cy="2628900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49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2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</w:pPr>
      <w:bookmarkStart w:id="53" w:name="_Toc7628"/>
      <w:r>
        <w:rPr>
          <w:rFonts w:hint="eastAsia"/>
        </w:rPr>
        <w:t>峰值工况</w:t>
      </w:r>
      <w:bookmarkEnd w:id="53"/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焓值(kj/kg)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最热</w:t>
            </w:r>
          </w:p>
        </w:tc>
        <w:tc>
          <w:tcPr>
            <w:vAlign w:val="center"/>
          </w:tcPr>
          <w:p>
            <w:r>
              <w:t>06月21日15时</w:t>
            </w:r>
          </w:p>
        </w:tc>
        <w:tc>
          <w:tcPr>
            <w:vAlign w:val="center"/>
          </w:tcPr>
          <w:p>
            <w:r>
              <w:t>38.3</w:t>
            </w:r>
          </w:p>
        </w:tc>
        <w:tc>
          <w:tcPr>
            <w:vAlign w:val="center"/>
          </w:tcPr>
          <w:p>
            <w:r>
              <w:t>21.1</w:t>
            </w:r>
          </w:p>
        </w:tc>
        <w:tc>
          <w:tcPr>
            <w:vAlign w:val="center"/>
          </w:tcPr>
          <w:p>
            <w:r>
              <w:t>8.9</w:t>
            </w:r>
          </w:p>
        </w:tc>
        <w:tc>
          <w:tcPr>
            <w:vAlign w:val="center"/>
          </w:tcPr>
          <w:p>
            <w:r>
              <w:t>61.4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最冷</w:t>
            </w:r>
          </w:p>
        </w:tc>
        <w:tc>
          <w:tcPr>
            <w:vAlign w:val="center"/>
          </w:tcPr>
          <w:p>
            <w:r>
              <w:t>01月14日07时</w:t>
            </w:r>
          </w:p>
        </w:tc>
        <w:tc>
          <w:tcPr>
            <w:vAlign w:val="center"/>
          </w:tcPr>
          <w:p>
            <w:r>
              <w:t>-10.6</w:t>
            </w:r>
          </w:p>
        </w:tc>
        <w:tc>
          <w:tcPr>
            <w:vAlign w:val="center"/>
          </w:tcPr>
          <w:p>
            <w:r>
              <w:t>-10.6</w:t>
            </w:r>
          </w:p>
        </w:tc>
        <w:tc>
          <w:tcPr>
            <w:vAlign w:val="center"/>
          </w:tcPr>
          <w:p>
            <w:r>
              <w:t>1.4</w:t>
            </w:r>
          </w:p>
        </w:tc>
        <w:tc>
          <w:tcPr>
            <w:vAlign w:val="center"/>
          </w:tcPr>
          <w:p>
            <w:r>
              <w:t>-7.1</w:t>
            </w:r>
          </w:p>
        </w:tc>
      </w:tr>
    </w:tbl>
    <w:p>
      <w:pPr>
        <w:pStyle w:val="2"/>
        <w:widowControl w:val="0"/>
        <w:jc w:val="both"/>
      </w:pPr>
      <w:bookmarkStart w:id="54" w:name="气象峰值工况"/>
      <w:bookmarkEnd w:id="54"/>
      <w:bookmarkStart w:id="55" w:name="_Toc16181"/>
      <w:r>
        <w:t>围护结构</w:t>
      </w:r>
      <w:bookmarkEnd w:id="55"/>
    </w:p>
    <w:p>
      <w:pPr>
        <w:pStyle w:val="4"/>
        <w:widowControl w:val="0"/>
        <w:jc w:val="both"/>
      </w:pPr>
      <w:bookmarkStart w:id="56" w:name="_Toc1816"/>
      <w:r>
        <w:t>工程材料</w:t>
      </w:r>
      <w:bookmarkEnd w:id="56"/>
    </w:p>
    <w:tbl>
      <w:tblPr>
        <w:tblStyle w:val="19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密度ρ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比热容Cp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数据来源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1800.0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0.0210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聚苯乙烯泡沫塑料（灰板）</w:t>
            </w:r>
          </w:p>
        </w:tc>
        <w:tc>
          <w:tcPr>
            <w:vAlign w:val="center"/>
          </w:tcPr>
          <w:p>
            <w:r>
              <w:t>0.033</w:t>
            </w:r>
          </w:p>
        </w:tc>
        <w:tc>
          <w:tcPr>
            <w:vAlign w:val="center"/>
          </w:tcPr>
          <w:p>
            <w:r>
              <w:t>0.280</w:t>
            </w:r>
          </w:p>
        </w:tc>
        <w:tc>
          <w:tcPr>
            <w:vAlign w:val="center"/>
          </w:tcPr>
          <w:p>
            <w:r>
              <w:t>20.0</w:t>
            </w:r>
          </w:p>
        </w:tc>
        <w:tc>
          <w:tcPr>
            <w:vAlign w:val="center"/>
          </w:tcPr>
          <w:p>
            <w:r>
              <w:t>1380.0</w:t>
            </w:r>
          </w:p>
        </w:tc>
        <w:tc>
          <w:tcPr>
            <w:vAlign w:val="center"/>
          </w:tcPr>
          <w:p>
            <w:r>
              <w:t>0.0162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石灰砂浆</w:t>
            </w:r>
          </w:p>
        </w:tc>
        <w:tc>
          <w:tcPr>
            <w:vAlign w:val="center"/>
          </w:tcPr>
          <w:p>
            <w:r>
              <w:t>0.810</w:t>
            </w:r>
          </w:p>
        </w:tc>
        <w:tc>
          <w:tcPr>
            <w:vAlign w:val="center"/>
          </w:tcPr>
          <w:p>
            <w:r>
              <w:t>10.070</w:t>
            </w:r>
          </w:p>
        </w:tc>
        <w:tc>
          <w:tcPr>
            <w:vAlign w:val="center"/>
          </w:tcPr>
          <w:p>
            <w:r>
              <w:t>1600.0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0.0443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17.200</w:t>
            </w:r>
          </w:p>
        </w:tc>
        <w:tc>
          <w:tcPr>
            <w:vAlign w:val="center"/>
          </w:tcPr>
          <w:p>
            <w:r>
              <w:t>2500.0</w:t>
            </w:r>
          </w:p>
        </w:tc>
        <w:tc>
          <w:tcPr>
            <w:vAlign w:val="center"/>
          </w:tcPr>
          <w:p>
            <w:r>
              <w:t>920.0</w:t>
            </w:r>
          </w:p>
        </w:tc>
        <w:tc>
          <w:tcPr>
            <w:vAlign w:val="center"/>
          </w:tcPr>
          <w:p>
            <w:r>
              <w:t>0.0158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挤塑聚苯板(ρ=25-32)</w:t>
            </w:r>
          </w:p>
        </w:tc>
        <w:tc>
          <w:tcPr>
            <w:vAlign w:val="center"/>
          </w:tcPr>
          <w:p>
            <w:r>
              <w:t>0.030</w:t>
            </w:r>
          </w:p>
        </w:tc>
        <w:tc>
          <w:tcPr>
            <w:vAlign w:val="center"/>
          </w:tcPr>
          <w:p>
            <w:r>
              <w:t>0.320</w:t>
            </w:r>
          </w:p>
        </w:tc>
        <w:tc>
          <w:tcPr>
            <w:vAlign w:val="center"/>
          </w:tcPr>
          <w:p>
            <w:r>
              <w:t>28.5</w:t>
            </w:r>
          </w:p>
        </w:tc>
        <w:tc>
          <w:tcPr>
            <w:vAlign w:val="center"/>
          </w:tcPr>
          <w:p>
            <w:r>
              <w:t>1647.0</w:t>
            </w:r>
          </w:p>
        </w:tc>
        <w:tc>
          <w:tcPr>
            <w:vAlign w:val="center"/>
          </w:tcPr>
          <w:p>
            <w:r>
              <w:t>0.0162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加气混凝土、泡沫混凝土(ρ=700)</w:t>
            </w:r>
          </w:p>
        </w:tc>
        <w:tc>
          <w:tcPr>
            <w:vAlign w:val="center"/>
          </w:tcPr>
          <w:p>
            <w:r>
              <w:t>0.180</w:t>
            </w:r>
          </w:p>
        </w:tc>
        <w:tc>
          <w:tcPr>
            <w:vAlign w:val="center"/>
          </w:tcPr>
          <w:p>
            <w:r>
              <w:t>3.100</w:t>
            </w:r>
          </w:p>
        </w:tc>
        <w:tc>
          <w:tcPr>
            <w:vAlign w:val="center"/>
          </w:tcPr>
          <w:p>
            <w:r>
              <w:t>700.0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0.0998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混凝土多孔砖(190六孔砖）</w:t>
            </w:r>
          </w:p>
        </w:tc>
        <w:tc>
          <w:tcPr>
            <w:vAlign w:val="center"/>
          </w:tcPr>
          <w:p>
            <w:r>
              <w:t>0.750</w:t>
            </w:r>
          </w:p>
        </w:tc>
        <w:tc>
          <w:tcPr>
            <w:vAlign w:val="center"/>
          </w:tcPr>
          <w:p>
            <w:r>
              <w:t>7.490</w:t>
            </w:r>
          </w:p>
        </w:tc>
        <w:tc>
          <w:tcPr>
            <w:vAlign w:val="center"/>
          </w:tcPr>
          <w:p>
            <w:r>
              <w:t>1450.0</w:t>
            </w:r>
          </w:p>
        </w:tc>
        <w:tc>
          <w:tcPr>
            <w:vAlign w:val="center"/>
          </w:tcPr>
          <w:p>
            <w:r>
              <w:t>709.4</w:t>
            </w:r>
          </w:p>
        </w:tc>
        <w:tc>
          <w:tcPr>
            <w:vAlign w:val="center"/>
          </w:tcPr>
          <w:p>
            <w:r>
              <w:t>0.0010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岩棉板(ρ=60-160)</w:t>
            </w:r>
          </w:p>
        </w:tc>
        <w:tc>
          <w:tcPr>
            <w:vAlign w:val="center"/>
          </w:tcPr>
          <w:p>
            <w:r>
              <w:t>0.041</w:t>
            </w:r>
          </w:p>
        </w:tc>
        <w:tc>
          <w:tcPr>
            <w:vAlign w:val="center"/>
          </w:tcPr>
          <w:p>
            <w:r>
              <w:t>0.615</w:t>
            </w:r>
          </w:p>
        </w:tc>
        <w:tc>
          <w:tcPr>
            <w:vAlign w:val="center"/>
          </w:tcPr>
          <w:p>
            <w:r>
              <w:t>110.0</w:t>
            </w:r>
          </w:p>
        </w:tc>
        <w:tc>
          <w:tcPr>
            <w:vAlign w:val="center"/>
          </w:tcPr>
          <w:p>
            <w:r>
              <w:t>1220.0</w:t>
            </w:r>
          </w:p>
        </w:tc>
        <w:tc>
          <w:tcPr>
            <w:vAlign w:val="center"/>
          </w:tcPr>
          <w:p>
            <w:r>
              <w:t>0.4880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c20细石混凝土(ρ=2300)</w:t>
            </w:r>
          </w:p>
        </w:tc>
        <w:tc>
          <w:tcPr>
            <w:vAlign w:val="center"/>
          </w:tcPr>
          <w:p>
            <w:r>
              <w:t>1.510</w:t>
            </w:r>
          </w:p>
        </w:tc>
        <w:tc>
          <w:tcPr>
            <w:vAlign w:val="center"/>
          </w:tcPr>
          <w:p>
            <w:r>
              <w:t>15.243</w:t>
            </w:r>
          </w:p>
        </w:tc>
        <w:tc>
          <w:tcPr>
            <w:vAlign w:val="center"/>
          </w:tcPr>
          <w:p>
            <w:r>
              <w:t>2300.0</w:t>
            </w:r>
          </w:p>
        </w:tc>
        <w:tc>
          <w:tcPr>
            <w:vAlign w:val="center"/>
          </w:tcPr>
          <w:p>
            <w:r>
              <w:t>920.0</w:t>
            </w:r>
          </w:p>
        </w:tc>
        <w:tc>
          <w:tcPr>
            <w:vAlign w:val="center"/>
          </w:tcPr>
          <w:p>
            <w:r>
              <w:t>0.0173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轻骨料混凝土(找坡层)</w:t>
            </w:r>
          </w:p>
        </w:tc>
        <w:tc>
          <w:tcPr>
            <w:vAlign w:val="center"/>
          </w:tcPr>
          <w:p>
            <w:r>
              <w:t>0.300</w:t>
            </w:r>
          </w:p>
        </w:tc>
        <w:tc>
          <w:tcPr>
            <w:vAlign w:val="center"/>
          </w:tcPr>
          <w:p>
            <w:r>
              <w:t>5.000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1091.3</w:t>
            </w:r>
          </w:p>
        </w:tc>
        <w:tc>
          <w:tcPr>
            <w:vAlign w:val="center"/>
          </w:tcPr>
          <w:p>
            <w:r>
              <w:t>0.0140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石墨聚苯板</w:t>
            </w:r>
          </w:p>
        </w:tc>
        <w:tc>
          <w:tcPr>
            <w:vAlign w:val="center"/>
          </w:tcPr>
          <w:p>
            <w:r>
              <w:t>0.033</w:t>
            </w:r>
          </w:p>
        </w:tc>
        <w:tc>
          <w:tcPr>
            <w:vAlign w:val="center"/>
          </w:tcPr>
          <w:p>
            <w:r>
              <w:t>0.280</w:t>
            </w:r>
          </w:p>
        </w:tc>
        <w:tc>
          <w:tcPr>
            <w:vAlign w:val="center"/>
          </w:tcPr>
          <w:p>
            <w:r>
              <w:t>20.0</w:t>
            </w:r>
          </w:p>
        </w:tc>
        <w:tc>
          <w:tcPr>
            <w:vAlign w:val="center"/>
          </w:tcPr>
          <w:p>
            <w:r>
              <w:t>1633.5</w:t>
            </w:r>
          </w:p>
        </w:tc>
        <w:tc>
          <w:tcPr>
            <w:vAlign w:val="center"/>
          </w:tcPr>
          <w:p>
            <w:r>
              <w:t>0.0162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</w:tbl>
    <w:p>
      <w:pPr>
        <w:pStyle w:val="4"/>
        <w:widowControl w:val="0"/>
        <w:jc w:val="both"/>
      </w:pPr>
      <w:bookmarkStart w:id="57" w:name="_Toc22344"/>
      <w:r>
        <w:t>围护结构作法简要说明</w:t>
      </w:r>
      <w:bookmarkEnd w:id="57"/>
    </w:p>
    <w:p>
      <w:pPr>
        <w:widowControl w:val="0"/>
        <w:jc w:val="both"/>
      </w:pPr>
      <w:r>
        <w:rPr>
          <w:b/>
          <w:color w:val="000000"/>
          <w:sz w:val="24"/>
          <w:szCs w:val="24"/>
        </w:rPr>
        <w:t>1. 屋顶：</w:t>
      </w:r>
      <w:r>
        <w:rPr>
          <w:color w:val="0000FF"/>
          <w:sz w:val="21"/>
          <w:szCs w:val="21"/>
        </w:rPr>
        <w:t>屋顶构造一 (K=0.295,D=3.516)：</w:t>
      </w:r>
      <w:r>
        <w:rPr>
          <w:color w:val="000000"/>
        </w:rPr>
        <w:t>（由上到下）</w:t>
      </w:r>
    </w:p>
    <w:p>
      <w:pPr>
        <w:widowControl w:val="0"/>
        <w:jc w:val="both"/>
      </w:pPr>
      <w:r>
        <w:t xml:space="preserve">    </w:t>
      </w:r>
      <w:r>
        <w:rPr>
          <w:color w:val="000000"/>
        </w:rPr>
        <w:t>水泥砂浆 20mm＋c20细石混凝土(ρ=2300) 40mm＋</w:t>
      </w:r>
      <w:r>
        <w:rPr>
          <w:color w:val="800000"/>
        </w:rPr>
        <w:t>石墨聚苯板 110mm</w:t>
      </w:r>
      <w:r>
        <w:rPr>
          <w:color w:val="000000"/>
        </w:rPr>
        <w:t>＋轻骨料混凝土(找坡层) 30mm＋</w:t>
      </w:r>
      <w:r>
        <w:rPr>
          <w:color w:val="800080"/>
        </w:rPr>
        <w:t>钢筋混凝土 120mm</w:t>
      </w:r>
      <w:r>
        <w:rPr>
          <w:color w:val="000000"/>
        </w:rPr>
        <w:t>＋石灰砂浆 20mm</w:t>
      </w:r>
    </w:p>
    <w:p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2. 外墙：</w:t>
      </w:r>
      <w:r>
        <w:rPr>
          <w:color w:val="0000FF"/>
          <w:sz w:val="21"/>
          <w:szCs w:val="21"/>
        </w:rPr>
        <w:t>外墙构造一 (K=0.447,D=3.064)：</w:t>
      </w:r>
      <w:r>
        <w:rPr>
          <w:color w:val="000000"/>
        </w:rPr>
        <w:t>（由外到内）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石墨聚苯板 70mm</w:t>
      </w:r>
      <w:r>
        <w:rPr>
          <w:color w:val="000000"/>
        </w:rPr>
        <w:t>＋</w:t>
      </w:r>
      <w:r>
        <w:rPr>
          <w:color w:val="800080"/>
        </w:rPr>
        <w:t>钢筋混凝土 200mm</w:t>
      </w:r>
      <w:r>
        <w:rPr>
          <w:color w:val="000000"/>
        </w:rPr>
        <w:t>＋石灰砂浆 20mm</w:t>
      </w:r>
    </w:p>
    <w:p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3. 分隔供暖与非供暖空间的隔墙：</w:t>
      </w:r>
      <w:r>
        <w:rPr>
          <w:color w:val="0000FF"/>
          <w:sz w:val="21"/>
          <w:szCs w:val="21"/>
        </w:rPr>
        <w:t>楼梯间隔墙构造一 (K=0.866,D=3.938)：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加气混凝土、泡沫混凝土(ρ=700) 200mm</w:t>
      </w:r>
      <w:r>
        <w:rPr>
          <w:color w:val="000000"/>
        </w:rPr>
        <w:t>＋石灰砂浆 20mm</w:t>
      </w:r>
    </w:p>
    <w:p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4. 分隔供暖与非供暖空间的楼板：</w:t>
      </w:r>
      <w:r>
        <w:rPr>
          <w:color w:val="0000FF"/>
          <w:sz w:val="21"/>
          <w:szCs w:val="21"/>
        </w:rPr>
        <w:t>控温与非控温楼板构造一 (K=0.510,D=2.879)：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岩棉板(ρ=60-160) 80mm</w:t>
      </w:r>
      <w:r>
        <w:rPr>
          <w:color w:val="000000"/>
        </w:rPr>
        <w:t>＋</w:t>
      </w:r>
      <w:r>
        <w:rPr>
          <w:color w:val="800080"/>
        </w:rPr>
        <w:t>钢筋混凝土 120mm</w:t>
      </w:r>
      <w:r>
        <w:rPr>
          <w:color w:val="000000"/>
        </w:rPr>
        <w:t>＋石灰砂浆 20mm</w:t>
      </w:r>
    </w:p>
    <w:p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5. 分隔供暖与非供暖空间的户门：</w:t>
      </w:r>
      <w:r>
        <w:rPr>
          <w:color w:val="0000FF"/>
          <w:sz w:val="21"/>
          <w:szCs w:val="21"/>
        </w:rPr>
        <w:t>金属框—保温门（多功能门） (K=2.000)：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传热系数2.000W/㎡.K</w:t>
      </w:r>
    </w:p>
    <w:p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6. 外窗：</w:t>
      </w:r>
      <w:r>
        <w:rPr>
          <w:color w:val="0000FF"/>
          <w:sz w:val="21"/>
          <w:szCs w:val="21"/>
        </w:rPr>
        <w:t>70系列内平开下悬铝合金窗[5Low-E+12A+5+12A+5] (K=1.800)：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传热系数1.800W/㎡.K，窗太阳得热系数0.335</w:t>
      </w:r>
    </w:p>
    <w:p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7. 周边地面：</w:t>
      </w:r>
      <w:r>
        <w:rPr>
          <w:color w:val="0000FF"/>
          <w:sz w:val="21"/>
          <w:szCs w:val="21"/>
        </w:rPr>
        <w:t>周边地面构造一 (K=0.587,D=1.766)：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挤塑聚苯板(ρ=25-32) 50mm</w:t>
      </w:r>
      <w:r>
        <w:rPr>
          <w:color w:val="000000"/>
        </w:rPr>
        <w:t>＋钢筋混凝土 100mm</w:t>
      </w:r>
    </w:p>
    <w:p>
      <w:pPr>
        <w:pStyle w:val="2"/>
        <w:widowControl w:val="0"/>
        <w:jc w:val="both"/>
        <w:rPr>
          <w:color w:val="000000"/>
        </w:rPr>
      </w:pPr>
      <w:bookmarkStart w:id="58" w:name="_Toc10910"/>
      <w:r>
        <w:rPr>
          <w:color w:val="000000"/>
        </w:rPr>
        <w:t>围护结构概况</w:t>
      </w:r>
      <w:bookmarkEnd w:id="58"/>
    </w:p>
    <w:p/>
    <w:tbl>
      <w:tblPr>
        <w:tblStyle w:val="19"/>
        <w:tblW w:w="5262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1681"/>
        <w:gridCol w:w="950"/>
        <w:gridCol w:w="780"/>
        <w:gridCol w:w="1249"/>
        <w:gridCol w:w="1235"/>
        <w:gridCol w:w="772"/>
        <w:gridCol w:w="137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3" w:type="pct"/>
            <w:gridSpan w:val="2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524" w:type="pct"/>
            <w:gridSpan w:val="3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9" w:name="设计建筑别名"/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设计建筑</w:t>
            </w:r>
            <w:bookmarkEnd w:id="59"/>
          </w:p>
        </w:tc>
        <w:tc>
          <w:tcPr>
            <w:tcW w:w="1733" w:type="pct"/>
            <w:gridSpan w:val="3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0" w:name="参照建筑别名"/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参照建筑</w:t>
            </w:r>
            <w:bookmarkEnd w:id="6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3" w:type="pct"/>
            <w:gridSpan w:val="2"/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体形系数S</w:t>
            </w:r>
          </w:p>
        </w:tc>
        <w:tc>
          <w:tcPr>
            <w:tcW w:w="1524" w:type="pct"/>
            <w:gridSpan w:val="3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1" w:name="体形系数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0.28</w:t>
            </w:r>
            <w:bookmarkEnd w:id="61"/>
          </w:p>
        </w:tc>
        <w:tc>
          <w:tcPr>
            <w:tcW w:w="1733" w:type="pct"/>
            <w:gridSpan w:val="3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2" w:name="参照建筑体形系数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0.28</w:t>
            </w:r>
            <w:bookmarkEnd w:id="6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3" w:type="pct"/>
            <w:gridSpan w:val="2"/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</w:tc>
        <w:tc>
          <w:tcPr>
            <w:tcW w:w="1524" w:type="pct"/>
            <w:gridSpan w:val="3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3" w:name="屋顶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0.30</w:t>
            </w:r>
            <w:bookmarkEnd w:id="63"/>
          </w:p>
        </w:tc>
        <w:tc>
          <w:tcPr>
            <w:tcW w:w="1733" w:type="pct"/>
            <w:gridSpan w:val="3"/>
            <w:vAlign w:val="center"/>
          </w:tcPr>
          <w:p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4" w:name="参照建筑屋顶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0.30</w:t>
            </w:r>
            <w:bookmarkEnd w:id="6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743" w:type="pct"/>
            <w:gridSpan w:val="2"/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K </w:t>
            </w:r>
          </w:p>
        </w:tc>
        <w:tc>
          <w:tcPr>
            <w:tcW w:w="1524" w:type="pct"/>
            <w:gridSpan w:val="3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5" w:name="外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0.59</w:t>
            </w:r>
            <w:bookmarkEnd w:id="65"/>
          </w:p>
        </w:tc>
        <w:tc>
          <w:tcPr>
            <w:tcW w:w="1733" w:type="pct"/>
            <w:gridSpan w:val="3"/>
            <w:vAlign w:val="center"/>
          </w:tcPr>
          <w:p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6" w:name="参照建筑外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0.35</w:t>
            </w:r>
            <w:bookmarkEnd w:id="6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3" w:type="pct"/>
            <w:gridSpan w:val="2"/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房间</w:t>
            </w:r>
            <w:r>
              <w:rPr>
                <w:rFonts w:eastAsia="宋体"/>
                <w:sz w:val="21"/>
                <w:szCs w:val="21"/>
                <w:lang w:eastAsia="zh-CN"/>
              </w:rPr>
              <w:t>天窗屋顶比</w:t>
            </w:r>
          </w:p>
        </w:tc>
        <w:tc>
          <w:tcPr>
            <w:tcW w:w="1524" w:type="pct"/>
            <w:gridSpan w:val="3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7" w:name="最不利房间天窗屋顶比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67"/>
          </w:p>
        </w:tc>
        <w:tc>
          <w:tcPr>
            <w:tcW w:w="1733" w:type="pct"/>
            <w:gridSpan w:val="3"/>
            <w:vAlign w:val="center"/>
          </w:tcPr>
          <w:p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8" w:name="参照建筑最不利房间天窗屋顶比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6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3" w:type="pct"/>
            <w:gridSpan w:val="2"/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挑空楼板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</w:tc>
        <w:tc>
          <w:tcPr>
            <w:tcW w:w="1524" w:type="pct"/>
            <w:gridSpan w:val="3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9" w:name="挑空楼板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69"/>
          </w:p>
        </w:tc>
        <w:tc>
          <w:tcPr>
            <w:tcW w:w="1733" w:type="pct"/>
            <w:gridSpan w:val="3"/>
            <w:vAlign w:val="center"/>
          </w:tcPr>
          <w:p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0" w:name="参照建筑挑空楼板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7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3" w:type="pct"/>
            <w:gridSpan w:val="2"/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非供暖地下室顶板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K </w:t>
            </w:r>
          </w:p>
        </w:tc>
        <w:tc>
          <w:tcPr>
            <w:tcW w:w="1524" w:type="pct"/>
            <w:gridSpan w:val="3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1" w:name="不采暖地下室上部地板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71"/>
          </w:p>
        </w:tc>
        <w:tc>
          <w:tcPr>
            <w:tcW w:w="1733" w:type="pct"/>
            <w:gridSpan w:val="3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2" w:name="参照建筑不采暖地下室上部地板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7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3" w:type="pct"/>
            <w:gridSpan w:val="2"/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分隔供暖与非供暖空间的隔墙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K </w:t>
            </w:r>
          </w:p>
        </w:tc>
        <w:tc>
          <w:tcPr>
            <w:tcW w:w="1524" w:type="pct"/>
            <w:gridSpan w:val="3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3" w:name="采暖与非采暖内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0.87</w:t>
            </w:r>
            <w:bookmarkEnd w:id="73"/>
          </w:p>
        </w:tc>
        <w:tc>
          <w:tcPr>
            <w:tcW w:w="1733" w:type="pct"/>
            <w:gridSpan w:val="3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4" w:name="参照建筑采暖与非采暖内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1.50</w:t>
            </w:r>
            <w:bookmarkEnd w:id="7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3" w:type="pct"/>
            <w:gridSpan w:val="2"/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分隔供暖与非供暖空间的楼板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K </w:t>
            </w:r>
          </w:p>
        </w:tc>
        <w:tc>
          <w:tcPr>
            <w:tcW w:w="1524" w:type="pct"/>
            <w:gridSpan w:val="3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5" w:name="不采暖地上室上部地板K"/>
            <w:bookmarkStart w:id="76" w:name="采暖与非采暖楼板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0.51</w:t>
            </w:r>
            <w:bookmarkEnd w:id="75"/>
            <w:bookmarkEnd w:id="76"/>
          </w:p>
        </w:tc>
        <w:tc>
          <w:tcPr>
            <w:tcW w:w="1733" w:type="pct"/>
            <w:gridSpan w:val="3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7" w:name="参照建筑采暖与非采暖楼板K"/>
            <w:bookmarkStart w:id="78" w:name="参照建筑不采暖地上室上部地板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1.50</w:t>
            </w:r>
            <w:bookmarkEnd w:id="77"/>
            <w:bookmarkEnd w:id="7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3" w:type="pct"/>
            <w:gridSpan w:val="2"/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周边地面保温材料层热阻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R </w:t>
            </w:r>
          </w:p>
        </w:tc>
        <w:tc>
          <w:tcPr>
            <w:tcW w:w="1524" w:type="pct"/>
            <w:gridSpan w:val="3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9" w:name="周边地面保温层R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1.52</w:t>
            </w:r>
            <w:bookmarkEnd w:id="79"/>
          </w:p>
        </w:tc>
        <w:tc>
          <w:tcPr>
            <w:tcW w:w="1733" w:type="pct"/>
            <w:gridSpan w:val="3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0" w:name="参照建筑周边地面保温层R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1.50</w:t>
            </w:r>
            <w:bookmarkEnd w:id="8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3" w:type="pct"/>
            <w:gridSpan w:val="2"/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地下室外墙保温材料层热阻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R </w:t>
            </w:r>
          </w:p>
        </w:tc>
        <w:tc>
          <w:tcPr>
            <w:tcW w:w="1524" w:type="pct"/>
            <w:gridSpan w:val="3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1" w:name="地下墙保温层R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81"/>
          </w:p>
        </w:tc>
        <w:tc>
          <w:tcPr>
            <w:tcW w:w="1733" w:type="pct"/>
            <w:gridSpan w:val="3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2" w:name="参照建筑地下墙保温层R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8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3" w:type="pct"/>
            <w:gridSpan w:val="2"/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天窗传热系数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和太阳得热系数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 xml:space="preserve"> SHGC</w:t>
            </w:r>
          </w:p>
        </w:tc>
        <w:tc>
          <w:tcPr>
            <w:tcW w:w="1524" w:type="pct"/>
            <w:gridSpan w:val="3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83" w:name="天窗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83"/>
          </w:p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SHGC=</w:t>
            </w:r>
            <w:bookmarkStart w:id="84" w:name="天窗SHGC－夏季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84"/>
          </w:p>
        </w:tc>
        <w:tc>
          <w:tcPr>
            <w:tcW w:w="1733" w:type="pct"/>
            <w:gridSpan w:val="3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85" w:name="参照建筑天窗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85"/>
          </w:p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SHGC=</w:t>
            </w:r>
            <w:bookmarkStart w:id="86" w:name="参照建筑天窗SHGC－夏季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8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3" w:hRule="atLeast"/>
          <w:jc w:val="center"/>
        </w:trPr>
        <w:tc>
          <w:tcPr>
            <w:tcW w:w="884" w:type="pct"/>
            <w:vMerge w:val="restar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外窗（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包括透明幕墙）</w:t>
            </w:r>
          </w:p>
        </w:tc>
        <w:tc>
          <w:tcPr>
            <w:tcW w:w="860" w:type="pc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朝向</w:t>
            </w:r>
          </w:p>
        </w:tc>
        <w:tc>
          <w:tcPr>
            <w:tcW w:w="486" w:type="pc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最不利窗墙比</w:t>
            </w:r>
          </w:p>
        </w:tc>
        <w:tc>
          <w:tcPr>
            <w:tcW w:w="399" w:type="pc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639" w:type="pc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  系数(夏季)</w:t>
            </w:r>
          </w:p>
        </w:tc>
        <w:tc>
          <w:tcPr>
            <w:tcW w:w="632" w:type="pc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395" w:type="pc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705" w:type="pc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  系数(夏季)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exact"/>
          <w:jc w:val="center"/>
        </w:trPr>
        <w:tc>
          <w:tcPr>
            <w:tcW w:w="884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860" w:type="pct"/>
            <w:vMerge w:val="restar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南向</w:t>
            </w:r>
          </w:p>
        </w:tc>
        <w:tc>
          <w:tcPr>
            <w:tcW w:w="486" w:type="pct"/>
            <w:vMerge w:val="restar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7" w:name="最不利开间窗墙比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0.41</w:t>
            </w:r>
            <w:bookmarkEnd w:id="87"/>
          </w:p>
        </w:tc>
        <w:tc>
          <w:tcPr>
            <w:tcW w:w="399" w:type="pct"/>
            <w:vMerge w:val="restar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8" w:name="最不利窗墙比房间外窗K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1.80</w:t>
            </w:r>
            <w:bookmarkEnd w:id="88"/>
          </w:p>
        </w:tc>
        <w:tc>
          <w:tcPr>
            <w:tcW w:w="639" w:type="pct"/>
            <w:vMerge w:val="restar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9" w:name="外窗SHGC－夏季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0.27</w:t>
            </w:r>
            <w:bookmarkEnd w:id="89"/>
          </w:p>
        </w:tc>
        <w:tc>
          <w:tcPr>
            <w:tcW w:w="632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≤0.30</w:t>
            </w:r>
          </w:p>
        </w:tc>
        <w:tc>
          <w:tcPr>
            <w:tcW w:w="395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0" w:name="外窗K一档限值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1.80</w:t>
            </w:r>
            <w:bookmarkEnd w:id="90"/>
          </w:p>
        </w:tc>
        <w:tc>
          <w:tcPr>
            <w:tcW w:w="705" w:type="pct"/>
            <w:vMerge w:val="restar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1" w:name="标准不要求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——</w:t>
            </w:r>
            <w:bookmarkEnd w:id="9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  <w:jc w:val="center"/>
        </w:trPr>
        <w:tc>
          <w:tcPr>
            <w:tcW w:w="884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860" w:type="pct"/>
            <w:vMerge w:val="continue"/>
            <w:shd w:val="clear" w:color="auto" w:fill="E6E6E6"/>
            <w:vAlign w:val="center"/>
          </w:tcPr>
          <w:p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86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399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39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32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＞0.30</w:t>
            </w:r>
          </w:p>
        </w:tc>
        <w:tc>
          <w:tcPr>
            <w:tcW w:w="395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2" w:name="外窗K二档限值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1.50</w:t>
            </w:r>
            <w:bookmarkEnd w:id="92"/>
          </w:p>
        </w:tc>
        <w:tc>
          <w:tcPr>
            <w:tcW w:w="705" w:type="pct"/>
            <w:vMerge w:val="continue"/>
            <w:vAlign w:val="center"/>
          </w:tcPr>
          <w:p>
            <w:pPr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" w:hRule="atLeast"/>
          <w:jc w:val="center"/>
        </w:trPr>
        <w:tc>
          <w:tcPr>
            <w:tcW w:w="884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860" w:type="pct"/>
            <w:vMerge w:val="restar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北向</w:t>
            </w:r>
          </w:p>
        </w:tc>
        <w:tc>
          <w:tcPr>
            <w:tcW w:w="486" w:type="pct"/>
            <w:vMerge w:val="restar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3" w:name="最不利开间窗墙比－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0.54</w:t>
            </w:r>
            <w:bookmarkEnd w:id="93"/>
          </w:p>
        </w:tc>
        <w:tc>
          <w:tcPr>
            <w:tcW w:w="399" w:type="pct"/>
            <w:vMerge w:val="restar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4" w:name="最不利窗墙比房间外窗K－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1.80</w:t>
            </w:r>
            <w:bookmarkEnd w:id="94"/>
          </w:p>
        </w:tc>
        <w:tc>
          <w:tcPr>
            <w:tcW w:w="639" w:type="pct"/>
            <w:vMerge w:val="restar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5" w:name="外窗SHGC－夏季－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0.30</w:t>
            </w:r>
            <w:bookmarkEnd w:id="95"/>
          </w:p>
        </w:tc>
        <w:tc>
          <w:tcPr>
            <w:tcW w:w="632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≤0.30</w:t>
            </w:r>
          </w:p>
        </w:tc>
        <w:tc>
          <w:tcPr>
            <w:tcW w:w="395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6" w:name="外窗K一档限值－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1.80</w:t>
            </w:r>
            <w:bookmarkEnd w:id="96"/>
          </w:p>
        </w:tc>
        <w:tc>
          <w:tcPr>
            <w:tcW w:w="705" w:type="pct"/>
            <w:vMerge w:val="restar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——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7" w:hRule="atLeast"/>
          <w:jc w:val="center"/>
        </w:trPr>
        <w:tc>
          <w:tcPr>
            <w:tcW w:w="884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860" w:type="pct"/>
            <w:vMerge w:val="continue"/>
            <w:shd w:val="clear" w:color="auto" w:fill="E6E6E6"/>
            <w:vAlign w:val="center"/>
          </w:tcPr>
          <w:p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86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399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39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32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＞0.30</w:t>
            </w:r>
          </w:p>
        </w:tc>
        <w:tc>
          <w:tcPr>
            <w:tcW w:w="395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7" w:name="外窗K二档限值－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1.50</w:t>
            </w:r>
            <w:bookmarkEnd w:id="97"/>
          </w:p>
        </w:tc>
        <w:tc>
          <w:tcPr>
            <w:tcW w:w="705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884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860" w:type="pct"/>
            <w:vMerge w:val="restart"/>
            <w:shd w:val="clear" w:color="auto" w:fill="E6E6E6"/>
            <w:vAlign w:val="center"/>
          </w:tcPr>
          <w:p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东向</w:t>
            </w:r>
          </w:p>
        </w:tc>
        <w:tc>
          <w:tcPr>
            <w:tcW w:w="486" w:type="pct"/>
            <w:vMerge w:val="restar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8" w:name="最不利开间窗墙比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0.45</w:t>
            </w:r>
            <w:bookmarkEnd w:id="98"/>
          </w:p>
        </w:tc>
        <w:tc>
          <w:tcPr>
            <w:tcW w:w="399" w:type="pct"/>
            <w:vMerge w:val="restar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9" w:name="最不利窗墙比房间外窗K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1.80</w:t>
            </w:r>
            <w:bookmarkEnd w:id="99"/>
          </w:p>
        </w:tc>
        <w:tc>
          <w:tcPr>
            <w:tcW w:w="639" w:type="pct"/>
            <w:vMerge w:val="restar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00" w:name="外窗SHGC－夏季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0.34</w:t>
            </w:r>
            <w:bookmarkEnd w:id="100"/>
          </w:p>
        </w:tc>
        <w:tc>
          <w:tcPr>
            <w:tcW w:w="632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≤0.30</w:t>
            </w:r>
          </w:p>
        </w:tc>
        <w:tc>
          <w:tcPr>
            <w:tcW w:w="395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01" w:name="外窗K一档限值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1.80</w:t>
            </w:r>
            <w:bookmarkEnd w:id="101"/>
          </w:p>
        </w:tc>
        <w:tc>
          <w:tcPr>
            <w:tcW w:w="705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——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" w:hRule="atLeast"/>
          <w:jc w:val="center"/>
        </w:trPr>
        <w:tc>
          <w:tcPr>
            <w:tcW w:w="884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860" w:type="pct"/>
            <w:vMerge w:val="continue"/>
            <w:shd w:val="clear" w:color="auto" w:fill="E6E6E6"/>
            <w:vAlign w:val="center"/>
          </w:tcPr>
          <w:p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86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399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39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32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0.30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&lt;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窗墙比≤0.40</w:t>
            </w:r>
          </w:p>
        </w:tc>
        <w:tc>
          <w:tcPr>
            <w:tcW w:w="395" w:type="pct"/>
            <w:vMerge w:val="restar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02" w:name="外窗K二档限值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1.50</w:t>
            </w:r>
            <w:bookmarkEnd w:id="102"/>
          </w:p>
        </w:tc>
        <w:tc>
          <w:tcPr>
            <w:tcW w:w="705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.50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" w:hRule="atLeast"/>
          <w:jc w:val="center"/>
        </w:trPr>
        <w:tc>
          <w:tcPr>
            <w:tcW w:w="884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860" w:type="pct"/>
            <w:vMerge w:val="continue"/>
            <w:shd w:val="clear" w:color="auto" w:fill="E6E6E6"/>
            <w:vAlign w:val="center"/>
          </w:tcPr>
          <w:p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86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399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39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32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＞0.40</w:t>
            </w:r>
          </w:p>
        </w:tc>
        <w:tc>
          <w:tcPr>
            <w:tcW w:w="395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705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.55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4" w:hRule="atLeast"/>
          <w:jc w:val="center"/>
        </w:trPr>
        <w:tc>
          <w:tcPr>
            <w:tcW w:w="884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860" w:type="pct"/>
            <w:vMerge w:val="restar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西向</w:t>
            </w:r>
          </w:p>
        </w:tc>
        <w:tc>
          <w:tcPr>
            <w:tcW w:w="486" w:type="pct"/>
            <w:vMerge w:val="restar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03" w:name="最不利开间窗墙比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0.45</w:t>
            </w:r>
            <w:bookmarkEnd w:id="103"/>
          </w:p>
        </w:tc>
        <w:tc>
          <w:tcPr>
            <w:tcW w:w="399" w:type="pct"/>
            <w:vMerge w:val="restar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04" w:name="最不利窗墙比房间外窗K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1.80</w:t>
            </w:r>
            <w:bookmarkEnd w:id="104"/>
          </w:p>
        </w:tc>
        <w:tc>
          <w:tcPr>
            <w:tcW w:w="639" w:type="pct"/>
            <w:vMerge w:val="restar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05" w:name="外窗SHGC－夏季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0.34</w:t>
            </w:r>
            <w:bookmarkEnd w:id="105"/>
          </w:p>
        </w:tc>
        <w:tc>
          <w:tcPr>
            <w:tcW w:w="632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≤0.30</w:t>
            </w:r>
          </w:p>
        </w:tc>
        <w:tc>
          <w:tcPr>
            <w:tcW w:w="395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06" w:name="外窗K一档限值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1.80</w:t>
            </w:r>
            <w:bookmarkEnd w:id="106"/>
          </w:p>
        </w:tc>
        <w:tc>
          <w:tcPr>
            <w:tcW w:w="705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——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" w:hRule="atLeast"/>
          <w:jc w:val="center"/>
        </w:trPr>
        <w:tc>
          <w:tcPr>
            <w:tcW w:w="884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860" w:type="pct"/>
            <w:vMerge w:val="continue"/>
            <w:shd w:val="clear" w:color="auto" w:fill="E6E6E6"/>
            <w:vAlign w:val="center"/>
          </w:tcPr>
          <w:p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86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399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39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32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0.30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&lt;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窗墙比≤0.40</w:t>
            </w:r>
          </w:p>
        </w:tc>
        <w:tc>
          <w:tcPr>
            <w:tcW w:w="395" w:type="pct"/>
            <w:vMerge w:val="restar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07" w:name="外窗K二档限值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1.50</w:t>
            </w:r>
            <w:bookmarkEnd w:id="107"/>
          </w:p>
        </w:tc>
        <w:tc>
          <w:tcPr>
            <w:tcW w:w="705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.50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" w:hRule="atLeast"/>
          <w:jc w:val="center"/>
        </w:trPr>
        <w:tc>
          <w:tcPr>
            <w:tcW w:w="884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860" w:type="pct"/>
            <w:vMerge w:val="continue"/>
            <w:shd w:val="clear" w:color="auto" w:fill="E6E6E6"/>
            <w:vAlign w:val="center"/>
          </w:tcPr>
          <w:p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86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399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39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32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＞0.40</w:t>
            </w:r>
          </w:p>
        </w:tc>
        <w:tc>
          <w:tcPr>
            <w:tcW w:w="395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705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.55</w:t>
            </w:r>
          </w:p>
        </w:tc>
      </w:tr>
    </w:tbl>
    <w:p>
      <w:pPr>
        <w:widowControl w:val="0"/>
        <w:jc w:val="both"/>
        <w:rPr>
          <w:color w:val="000000"/>
        </w:rPr>
      </w:pPr>
      <w:r>
        <w:rPr>
          <w:color w:val="000000"/>
        </w:rPr>
        <w:t>备注：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1. 传热系数的单位W/(m2.k)，热阻的单位(m2.k)/W，其他参数无量纲.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2. 屋顶和外墙的传热系数K和热情性指标D指平均值.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3. 设计建筑：“—”代表本工程无对应项.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4. 参照建筑：“— —”代表参照建筑不要求，取值同设计建筑.</w:t>
      </w:r>
    </w:p>
    <w:p>
      <w:pPr>
        <w:widowControl w:val="0"/>
        <w:jc w:val="both"/>
        <w:rPr>
          <w:color w:val="000000"/>
        </w:rPr>
      </w:pPr>
    </w:p>
    <w:p>
      <w:pPr>
        <w:pStyle w:val="2"/>
        <w:widowControl w:val="0"/>
        <w:jc w:val="both"/>
        <w:rPr>
          <w:color w:val="000000"/>
        </w:rPr>
      </w:pPr>
      <w:bookmarkStart w:id="108" w:name="_Toc29334"/>
      <w:r>
        <w:rPr>
          <w:color w:val="000000"/>
        </w:rPr>
        <w:t>设计建筑</w:t>
      </w:r>
      <w:bookmarkEnd w:id="108"/>
    </w:p>
    <w:p>
      <w:pPr>
        <w:pStyle w:val="4"/>
        <w:widowControl w:val="0"/>
        <w:jc w:val="both"/>
        <w:rPr>
          <w:color w:val="000000"/>
        </w:rPr>
      </w:pPr>
      <w:bookmarkStart w:id="109" w:name="_Toc27572"/>
      <w:r>
        <w:rPr>
          <w:color w:val="000000"/>
        </w:rPr>
        <w:t>房间类型</w:t>
      </w:r>
      <w:bookmarkEnd w:id="109"/>
    </w:p>
    <w:p>
      <w:pPr>
        <w:pStyle w:val="5"/>
        <w:widowControl w:val="0"/>
        <w:jc w:val="both"/>
        <w:rPr>
          <w:color w:val="000000"/>
        </w:rPr>
      </w:pPr>
      <w:bookmarkStart w:id="110" w:name="_Toc2170"/>
      <w:r>
        <w:rPr>
          <w:color w:val="000000"/>
        </w:rPr>
        <w:t>房间参数表</w:t>
      </w:r>
      <w:bookmarkEnd w:id="110"/>
    </w:p>
    <w:tbl>
      <w:tblPr>
        <w:tblStyle w:val="19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卧室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0.5(次/h)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16(㎡/人)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卫生间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0.5(次/h)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楼梯间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空房间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0(W/㎡)</w:t>
            </w:r>
          </w:p>
        </w:tc>
      </w:tr>
    </w:tbl>
    <w:p>
      <w:pPr>
        <w:pStyle w:val="5"/>
        <w:widowControl w:val="0"/>
        <w:jc w:val="both"/>
        <w:rPr>
          <w:color w:val="000000"/>
        </w:rPr>
      </w:pPr>
      <w:bookmarkStart w:id="111" w:name="_Toc26679"/>
      <w:r>
        <w:rPr>
          <w:color w:val="000000"/>
        </w:rPr>
        <w:t>作息时间表</w:t>
      </w:r>
      <w:bookmarkEnd w:id="111"/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>
      <w:pPr>
        <w:pStyle w:val="4"/>
        <w:widowControl w:val="0"/>
        <w:jc w:val="both"/>
        <w:rPr>
          <w:color w:val="000000"/>
        </w:rPr>
      </w:pPr>
      <w:bookmarkStart w:id="112" w:name="_Toc31623"/>
      <w:r>
        <w:rPr>
          <w:color w:val="000000"/>
        </w:rPr>
        <w:t>系统类型</w:t>
      </w:r>
      <w:bookmarkEnd w:id="112"/>
    </w:p>
    <w:p>
      <w:pPr>
        <w:pStyle w:val="5"/>
        <w:widowControl w:val="0"/>
        <w:jc w:val="both"/>
        <w:rPr>
          <w:color w:val="000000"/>
        </w:rPr>
      </w:pPr>
      <w:bookmarkStart w:id="113" w:name="_Toc27631"/>
      <w:r>
        <w:rPr>
          <w:color w:val="000000"/>
        </w:rPr>
        <w:t>系统分区</w:t>
      </w:r>
      <w:bookmarkEnd w:id="113"/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24"/>
        <w:gridCol w:w="848"/>
        <w:gridCol w:w="848"/>
        <w:gridCol w:w="905"/>
        <w:gridCol w:w="367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制冷</w:t>
            </w:r>
            <w:r>
              <w:br w:type="textWrapping"/>
            </w:r>
            <w:r>
              <w:t>SEER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制热</w:t>
            </w:r>
            <w:r>
              <w:br w:type="textWrapping"/>
            </w:r>
            <w:r>
              <w:t>HSPF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包含的房间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默认</w:t>
            </w:r>
          </w:p>
        </w:tc>
        <w:tc>
          <w:tcPr>
            <w:vAlign w:val="center"/>
          </w:tcPr>
          <w:p>
            <w:r>
              <w:t>地暖/辐射板采暖/散热器采暖+空调器供冷</w:t>
            </w:r>
          </w:p>
        </w:tc>
        <w:tc>
          <w:tcPr>
            <w:vAlign w:val="center"/>
          </w:tcPr>
          <w:p>
            <w:r>
              <w:t>5.40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661.14</w:t>
            </w:r>
          </w:p>
        </w:tc>
        <w:tc>
          <w:tcPr>
            <w:vAlign w:val="center"/>
          </w:tcPr>
          <w:p>
            <w:r>
              <w:t>1018(1),1013(1),1004(1),2017(2),2014(2),2006(2),2003(2),3016(3),3015(3),3005(3),3002(3)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Sys</w:t>
            </w:r>
          </w:p>
        </w:tc>
        <w:tc>
          <w:tcPr>
            <w:vAlign w:val="center"/>
          </w:tcPr>
          <w:p>
            <w:r>
              <w:t>地暖/辐射板采暖/散热器采暖+空调器供冷</w:t>
            </w:r>
          </w:p>
        </w:tc>
        <w:tc>
          <w:tcPr>
            <w:vAlign w:val="center"/>
          </w:tcPr>
          <w:p>
            <w:r>
              <w:t>4.00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2019.80</w:t>
            </w:r>
          </w:p>
        </w:tc>
        <w:tc>
          <w:tcPr>
            <w:vAlign w:val="center"/>
          </w:tcPr>
          <w:p>
            <w:r>
              <w:t>1120(1),1108(1),1105(1),1103(1),1101(1),1091(1),1090(1),1085(1),1084(1),1082(1),1079(1),1076(1),1074(1),1072(1),1069(1),1068(1),1061(1),1060(1),1059(1),1056(1),1055(1),1054(1),1045(1),1044(1),1041(1),1038(1),1023(1),1020(1),1019(1),1009(1),1007(1),2109(2),2107(2),2104(2),2099(2),2098(2),2096(2),2095(2),2094(2),2093(2),2092(2),2088(2),2087(2),2075(2),2071(2),2067(2),2066(2),2065(2),2064(2),2063(2),2062(2),2053(2),2051(2),2043(2),2040(2),2039(2),2037(2),2036(2),2029(2),2027(2),2026(2),2024(2),2021(2),2011(2),2010(2),3110(3),3106(3),3102(3),3100(3),3097(3),3089(3),3086(3),3083(3),3081(3),3080(3),3078(3),3077(3),3073(3),3070(3),3058(3),3057(3),3052(3),3050(3),3049(3),3048(3),3047(3),3046(3),3042(3),3035(3),3034(3),3033(3),3032(3),3031(3),3030(3),3028(3),3025(3),3022(3),3012(3),3008(3)</w:t>
            </w:r>
          </w:p>
        </w:tc>
      </w:tr>
    </w:tbl>
    <w:p>
      <w:pPr>
        <w:pStyle w:val="5"/>
        <w:widowControl w:val="0"/>
        <w:jc w:val="both"/>
        <w:rPr>
          <w:color w:val="000000"/>
        </w:rPr>
      </w:pPr>
      <w:bookmarkStart w:id="114" w:name="_Toc5597"/>
      <w:r>
        <w:rPr>
          <w:color w:val="000000"/>
        </w:rPr>
        <w:t>热回收参数</w:t>
      </w:r>
      <w:bookmarkEnd w:id="114"/>
    </w:p>
    <w:tbl>
      <w:tblPr>
        <w:tblStyle w:val="19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62"/>
        <w:gridCol w:w="1731"/>
        <w:gridCol w:w="1731"/>
        <w:gridCol w:w="1731"/>
        <w:gridCol w:w="173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热回收</w:t>
            </w:r>
          </w:p>
        </w:tc>
        <w:tc>
          <w:tcPr>
            <w:gridSpan w:val="2"/>
            <w:shd w:val="clear" w:color="auto" w:fill="E6E6E6"/>
            <w:vAlign w:val="center"/>
          </w:tcPr>
          <w:p>
            <w:pPr>
              <w:jc w:val="center"/>
            </w:pPr>
            <w:r>
              <w:t>供冷</w:t>
            </w:r>
          </w:p>
        </w:tc>
        <w:tc>
          <w:tcPr>
            <w:gridSpan w:val="2"/>
            <w:shd w:val="clear" w:color="auto" w:fill="E6E6E6"/>
            <w:vAlign w:val="center"/>
          </w:tcPr>
          <w:p>
            <w:pPr>
              <w:jc w:val="center"/>
            </w:pPr>
            <w:r>
              <w:t>供暖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回收效率</w:t>
            </w:r>
          </w:p>
        </w:tc>
        <w:tc>
          <w:tcPr>
            <w:vAlign w:val="center"/>
          </w:tcPr>
          <w:p>
            <w:r>
              <w:t>启动温(焓)差</w:t>
            </w:r>
          </w:p>
        </w:tc>
        <w:tc>
          <w:tcPr>
            <w:vAlign w:val="center"/>
          </w:tcPr>
          <w:p>
            <w:r>
              <w:t>回收效率</w:t>
            </w:r>
          </w:p>
        </w:tc>
        <w:tc>
          <w:tcPr>
            <w:vAlign w:val="center"/>
          </w:tcPr>
          <w:p>
            <w:r>
              <w:t>启动温(焓)差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默认</w:t>
            </w:r>
          </w:p>
        </w:tc>
        <w:tc>
          <w:tcPr>
            <w:vAlign w:val="center"/>
          </w:tcPr>
          <w:p>
            <w:r>
              <w:t>无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Sys</w:t>
            </w:r>
          </w:p>
        </w:tc>
        <w:tc>
          <w:tcPr>
            <w:vAlign w:val="center"/>
          </w:tcPr>
          <w:p>
            <w:r>
              <w:t>无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</w:tr>
    </w:tbl>
    <w:p>
      <w:pPr>
        <w:pStyle w:val="4"/>
        <w:widowControl w:val="0"/>
        <w:jc w:val="both"/>
        <w:rPr>
          <w:color w:val="000000"/>
        </w:rPr>
      </w:pPr>
      <w:bookmarkStart w:id="115" w:name="_Toc30739"/>
      <w:r>
        <w:rPr>
          <w:color w:val="000000"/>
        </w:rPr>
        <w:t>制冷系统</w:t>
      </w:r>
      <w:bookmarkEnd w:id="115"/>
    </w:p>
    <w:p>
      <w:pPr>
        <w:pStyle w:val="5"/>
        <w:widowControl w:val="0"/>
        <w:jc w:val="both"/>
        <w:rPr>
          <w:color w:val="000000"/>
        </w:rPr>
      </w:pPr>
      <w:bookmarkStart w:id="116" w:name="_Toc32035"/>
      <w:r>
        <w:rPr>
          <w:color w:val="000000"/>
        </w:rPr>
        <w:t>多联机/单元式空调能耗</w:t>
      </w:r>
      <w:bookmarkEnd w:id="116"/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2190"/>
        <w:gridCol w:w="2473"/>
        <w:gridCol w:w="247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制冷SEER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耗冷量(kWh)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耗电量(kWh)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Sys</w:t>
            </w:r>
          </w:p>
        </w:tc>
        <w:tc>
          <w:tcPr>
            <w:vAlign w:val="center"/>
          </w:tcPr>
          <w:p>
            <w:r>
              <w:t>4.00</w:t>
            </w:r>
          </w:p>
        </w:tc>
        <w:tc>
          <w:tcPr>
            <w:vAlign w:val="center"/>
          </w:tcPr>
          <w:p>
            <w:r>
              <w:t>17604</w:t>
            </w:r>
          </w:p>
        </w:tc>
        <w:tc>
          <w:tcPr>
            <w:vAlign w:val="center"/>
          </w:tcPr>
          <w:p>
            <w:r>
              <w:t>4401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默认</w:t>
            </w:r>
          </w:p>
        </w:tc>
        <w:tc>
          <w:tcPr>
            <w:vAlign w:val="center"/>
          </w:tcPr>
          <w:p>
            <w:r>
              <w:t>5.40</w:t>
            </w:r>
          </w:p>
        </w:tc>
        <w:tc>
          <w:tcPr>
            <w:vAlign w:val="center"/>
          </w:tcPr>
          <w:p>
            <w:r>
              <w:t>4540</w:t>
            </w:r>
          </w:p>
        </w:tc>
        <w:tc>
          <w:tcPr>
            <w:vAlign w:val="center"/>
          </w:tcPr>
          <w:p>
            <w:r>
              <w:t>841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4.22</w:t>
            </w:r>
          </w:p>
        </w:tc>
        <w:tc>
          <w:tcPr>
            <w:vAlign w:val="center"/>
          </w:tcPr>
          <w:p>
            <w:r>
              <w:t>22144</w:t>
            </w:r>
          </w:p>
        </w:tc>
        <w:tc>
          <w:tcPr>
            <w:vAlign w:val="center"/>
          </w:tcPr>
          <w:p>
            <w:r>
              <w:t>5242</w:t>
            </w:r>
          </w:p>
        </w:tc>
      </w:tr>
    </w:tbl>
    <w:p>
      <w:pPr>
        <w:pStyle w:val="4"/>
        <w:widowControl w:val="0"/>
        <w:jc w:val="both"/>
        <w:rPr>
          <w:color w:val="000000"/>
        </w:rPr>
      </w:pPr>
      <w:bookmarkStart w:id="117" w:name="_Toc18378"/>
      <w:r>
        <w:rPr>
          <w:color w:val="000000"/>
        </w:rPr>
        <w:t>负荷分项统计</w:t>
      </w:r>
      <w:bookmarkEnd w:id="117"/>
    </w:p>
    <w:tbl>
      <w:tblPr>
        <w:tblStyle w:val="19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1273"/>
        <w:gridCol w:w="1273"/>
        <w:gridCol w:w="1131"/>
        <w:gridCol w:w="1131"/>
        <w:gridCol w:w="1131"/>
        <w:gridCol w:w="141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分类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围护传热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室内得热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窗日射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热回收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合计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供暖(kWh/㎡)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供冷(kWh/㎡)</w:t>
            </w:r>
          </w:p>
        </w:tc>
        <w:tc>
          <w:tcPr>
            <w:vAlign w:val="center"/>
          </w:tcPr>
          <w:p>
            <w:r>
              <w:t>1.24</w:t>
            </w:r>
          </w:p>
        </w:tc>
        <w:tc>
          <w:tcPr>
            <w:vAlign w:val="center"/>
          </w:tcPr>
          <w:p>
            <w:r>
              <w:t>0.99</w:t>
            </w:r>
          </w:p>
        </w:tc>
        <w:tc>
          <w:tcPr>
            <w:vAlign w:val="center"/>
          </w:tcPr>
          <w:p>
            <w:r>
              <w:t>1.51</w:t>
            </w:r>
          </w:p>
        </w:tc>
        <w:tc>
          <w:tcPr>
            <w:vAlign w:val="center"/>
          </w:tcPr>
          <w:p>
            <w:r>
              <w:t>2.38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6.12</w:t>
            </w:r>
          </w:p>
        </w:tc>
      </w:tr>
    </w:tbl>
    <w:p>
      <w:pPr>
        <w:jc w:val="center"/>
      </w:pPr>
      <w:r>
        <w:drawing>
          <wp:inline distT="0" distB="0" distL="0" distR="0">
            <wp:extent cx="5667375" cy="3095625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50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95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drawing>
          <wp:inline distT="0" distB="0" distL="0" distR="0">
            <wp:extent cx="5667375" cy="3038475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片 51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38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</w:pPr>
      <w:bookmarkStart w:id="118" w:name="_Toc893"/>
      <w:r>
        <w:t>逐月负荷表</w:t>
      </w:r>
      <w:bookmarkEnd w:id="118"/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188"/>
        <w:gridCol w:w="1188"/>
        <w:gridCol w:w="1188"/>
        <w:gridCol w:w="1862"/>
        <w:gridCol w:w="1188"/>
        <w:gridCol w:w="186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月份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right"/>
            </w:pPr>
            <w:r>
              <w:t>供暖(kWh)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right"/>
            </w:pPr>
            <w:r>
              <w:t>供冷(kWh)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right"/>
            </w:pPr>
            <w:r>
              <w:t>热负荷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热负荷</w:t>
            </w:r>
            <w:r>
              <w:br w:type="textWrapping"/>
            </w:r>
            <w:r>
              <w:t>峰值时刻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right"/>
            </w:pPr>
            <w:r>
              <w:t>冷负荷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冷负荷</w:t>
            </w:r>
            <w:r>
              <w:br w:type="textWrapping"/>
            </w:r>
            <w:r>
              <w:t>峰值时刻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1月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r>
              <w:t>--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r>
              <w:t>--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2月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r>
              <w:t>--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r>
              <w:t>--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3月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r>
              <w:t>--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r>
              <w:t>--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4月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r>
              <w:t>--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r>
              <w:t>--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5月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1243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r>
              <w:t>--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31.935</w:t>
            </w:r>
          </w:p>
        </w:tc>
        <w:tc>
          <w:tcPr>
            <w:vAlign w:val="center"/>
          </w:tcPr>
          <w:p>
            <w:r>
              <w:t>5月27日14时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6月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13256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r>
              <w:t>--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color w:val="0000FF"/>
              </w:rPr>
              <w:t>143.765</w:t>
            </w:r>
          </w:p>
        </w:tc>
        <w:tc>
          <w:tcPr>
            <w:vAlign w:val="center"/>
          </w:tcPr>
          <w:p>
            <w:r>
              <w:rPr>
                <w:color w:val="0000FF"/>
              </w:rPr>
              <w:t>6月24日1时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7月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7644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r>
              <w:t>--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107.281</w:t>
            </w:r>
          </w:p>
        </w:tc>
        <w:tc>
          <w:tcPr>
            <w:vAlign w:val="center"/>
          </w:tcPr>
          <w:p>
            <w:r>
              <w:t>7月1日1时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8月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r>
              <w:t>--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r>
              <w:t>--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9月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r>
              <w:t>--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r>
              <w:t>--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10月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r>
              <w:t>--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r>
              <w:t>--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>
            <w:r>
              <w:t>11月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r>
              <w:t>--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r>
              <w:t>--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12月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r>
              <w:t>--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r>
              <w:t>--</w:t>
            </w:r>
          </w:p>
        </w:tc>
      </w:tr>
    </w:tbl>
    <w:p>
      <w:pPr>
        <w:jc w:val="center"/>
      </w:pPr>
      <w:r>
        <w:drawing>
          <wp:inline distT="0" distB="0" distL="0" distR="0">
            <wp:extent cx="5667375" cy="2762250"/>
            <wp:effectExtent l="0" t="0" r="0" b="0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片 52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6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drawing>
          <wp:inline distT="0" distB="0" distL="0" distR="0">
            <wp:extent cx="5667375" cy="2771775"/>
            <wp:effectExtent l="0" t="0" r="0" b="0"/>
            <wp:docPr id="53" name="图片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片 53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7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</w:pPr>
      <w:bookmarkStart w:id="119" w:name="_Toc16866"/>
      <w:r>
        <w:t>逐月电耗</w:t>
      </w:r>
      <w:bookmarkEnd w:id="119"/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注:供冷供暖为冷热源及输配水泵电耗，热水为扣减太阳能后电耗，所有数据单位kWh/㎡。</w:t>
      </w:r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1"/>
        <w:gridCol w:w="1148"/>
        <w:gridCol w:w="1148"/>
        <w:gridCol w:w="1148"/>
        <w:gridCol w:w="1148"/>
        <w:gridCol w:w="1148"/>
        <w:gridCol w:w="848"/>
        <w:gridCol w:w="848"/>
        <w:gridCol w:w="84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月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供暖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空调风机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照明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插座设备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排风机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电梯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热水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Merge w:val="restart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Merge w:val="restart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Merge w:val="restart"/>
            <w:vAlign w:val="center"/>
          </w:tcPr>
          <w:p>
            <w:pPr>
              <w:jc w:val="right"/>
            </w:pPr>
            <w:r>
              <w:t>－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vAlign w:val="center"/>
          </w:tcPr>
          <w:p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vAlign w:val="center"/>
          </w:tcPr>
          <w:p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0.86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0.51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vAlign w:val="center"/>
          </w:tcPr>
          <w:p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合计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</w:tr>
    </w:tbl>
    <w:p>
      <w:pPr>
        <w:pStyle w:val="2"/>
        <w:widowControl w:val="0"/>
        <w:jc w:val="both"/>
        <w:rPr>
          <w:color w:val="000000"/>
        </w:rPr>
      </w:pPr>
      <w:bookmarkStart w:id="120" w:name="_Toc9451"/>
      <w:r>
        <w:rPr>
          <w:color w:val="000000"/>
        </w:rPr>
        <w:t>参照建筑</w:t>
      </w:r>
      <w:bookmarkEnd w:id="120"/>
    </w:p>
    <w:p>
      <w:pPr>
        <w:pStyle w:val="4"/>
        <w:widowControl w:val="0"/>
        <w:jc w:val="both"/>
        <w:rPr>
          <w:color w:val="000000"/>
        </w:rPr>
      </w:pPr>
      <w:bookmarkStart w:id="121" w:name="_Toc2324"/>
      <w:r>
        <w:rPr>
          <w:color w:val="000000"/>
        </w:rPr>
        <w:t>房间类型</w:t>
      </w:r>
      <w:bookmarkEnd w:id="121"/>
    </w:p>
    <w:p>
      <w:pPr>
        <w:pStyle w:val="5"/>
        <w:widowControl w:val="0"/>
        <w:jc w:val="both"/>
        <w:rPr>
          <w:color w:val="000000"/>
        </w:rPr>
      </w:pPr>
      <w:bookmarkStart w:id="122" w:name="_Toc15612"/>
      <w:r>
        <w:rPr>
          <w:color w:val="000000"/>
        </w:rPr>
        <w:t>房间参数表</w:t>
      </w:r>
      <w:bookmarkEnd w:id="122"/>
    </w:p>
    <w:tbl>
      <w:tblPr>
        <w:tblStyle w:val="19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卧室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0.5(次/h)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32(㎡/人)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卫生间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0.5(次/h)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>
            <w:r>
              <w:t>楼梯间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空房间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0(W/㎡)</w:t>
            </w:r>
          </w:p>
        </w:tc>
      </w:tr>
    </w:tbl>
    <w:p>
      <w:pPr>
        <w:pStyle w:val="5"/>
        <w:widowControl w:val="0"/>
        <w:jc w:val="both"/>
        <w:rPr>
          <w:color w:val="000000"/>
        </w:rPr>
      </w:pPr>
      <w:bookmarkStart w:id="123" w:name="_Toc10123"/>
      <w:r>
        <w:rPr>
          <w:color w:val="000000"/>
        </w:rPr>
        <w:t>作息时间表</w:t>
      </w:r>
      <w:bookmarkEnd w:id="123"/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同设计建筑</w:t>
      </w:r>
    </w:p>
    <w:p>
      <w:pPr>
        <w:pStyle w:val="4"/>
        <w:widowControl w:val="0"/>
        <w:jc w:val="both"/>
        <w:rPr>
          <w:color w:val="000000"/>
        </w:rPr>
      </w:pPr>
      <w:bookmarkStart w:id="124" w:name="_Toc7864"/>
      <w:r>
        <w:rPr>
          <w:color w:val="000000"/>
        </w:rPr>
        <w:t>制冷系统</w:t>
      </w:r>
      <w:bookmarkEnd w:id="124"/>
    </w:p>
    <w:tbl>
      <w:tblPr>
        <w:tblStyle w:val="19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07"/>
        <w:gridCol w:w="3107"/>
        <w:gridCol w:w="3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负荷(kWh/a)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系统综合性能系数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耗电(kWh/a)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26778</w:t>
            </w:r>
          </w:p>
        </w:tc>
        <w:tc>
          <w:tcPr>
            <w:vAlign w:val="center"/>
          </w:tcPr>
          <w:p>
            <w:r>
              <w:t>3.60</w:t>
            </w:r>
          </w:p>
        </w:tc>
        <w:tc>
          <w:tcPr>
            <w:vAlign w:val="center"/>
          </w:tcPr>
          <w:p>
            <w:r>
              <w:t>7438</w:t>
            </w:r>
          </w:p>
        </w:tc>
      </w:tr>
    </w:tbl>
    <w:p>
      <w:pPr>
        <w:pStyle w:val="4"/>
        <w:widowControl w:val="0"/>
        <w:jc w:val="both"/>
        <w:rPr>
          <w:color w:val="000000"/>
        </w:rPr>
      </w:pPr>
      <w:bookmarkStart w:id="125" w:name="_Toc30606"/>
      <w:r>
        <w:rPr>
          <w:color w:val="000000"/>
        </w:rPr>
        <w:t>负荷分项统计</w:t>
      </w:r>
      <w:bookmarkEnd w:id="125"/>
    </w:p>
    <w:tbl>
      <w:tblPr>
        <w:tblStyle w:val="19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1273"/>
        <w:gridCol w:w="1273"/>
        <w:gridCol w:w="1131"/>
        <w:gridCol w:w="1131"/>
        <w:gridCol w:w="1131"/>
        <w:gridCol w:w="141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分类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围护传热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室内得热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窗日射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热回收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合计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供暖(kWh/㎡)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供冷(kWh/㎡)</w:t>
            </w:r>
          </w:p>
        </w:tc>
        <w:tc>
          <w:tcPr>
            <w:vAlign w:val="center"/>
          </w:tcPr>
          <w:p>
            <w:r>
              <w:t>1.75</w:t>
            </w:r>
          </w:p>
        </w:tc>
        <w:tc>
          <w:tcPr>
            <w:vAlign w:val="center"/>
          </w:tcPr>
          <w:p>
            <w:r>
              <w:t>1.05</w:t>
            </w:r>
          </w:p>
        </w:tc>
        <w:tc>
          <w:tcPr>
            <w:vAlign w:val="center"/>
          </w:tcPr>
          <w:p>
            <w:r>
              <w:t>1.92</w:t>
            </w:r>
          </w:p>
        </w:tc>
        <w:tc>
          <w:tcPr>
            <w:vAlign w:val="center"/>
          </w:tcPr>
          <w:p>
            <w:r>
              <w:t>2.68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7.40</w:t>
            </w:r>
          </w:p>
        </w:tc>
      </w:tr>
    </w:tbl>
    <w:p>
      <w:pPr>
        <w:jc w:val="center"/>
      </w:pPr>
      <w:r>
        <w:drawing>
          <wp:inline distT="0" distB="0" distL="0" distR="0">
            <wp:extent cx="5667375" cy="3095625"/>
            <wp:effectExtent l="0" t="0" r="0" b="0"/>
            <wp:docPr id="54" name="图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片 54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95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drawing>
          <wp:inline distT="0" distB="0" distL="0" distR="0">
            <wp:extent cx="5667375" cy="3038475"/>
            <wp:effectExtent l="0" t="0" r="0" b="0"/>
            <wp:docPr id="55" name="图片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片 55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38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</w:pPr>
      <w:bookmarkStart w:id="126" w:name="_Toc18730"/>
      <w:r>
        <w:t>逐月负荷表</w:t>
      </w:r>
      <w:bookmarkEnd w:id="126"/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188"/>
        <w:gridCol w:w="1188"/>
        <w:gridCol w:w="1188"/>
        <w:gridCol w:w="1862"/>
        <w:gridCol w:w="1188"/>
        <w:gridCol w:w="186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月份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right"/>
            </w:pPr>
            <w:r>
              <w:t>供暖(kWh)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right"/>
            </w:pPr>
            <w:r>
              <w:t>供冷(kWh)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right"/>
            </w:pPr>
            <w:r>
              <w:t>热负荷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热负荷</w:t>
            </w:r>
            <w:r>
              <w:br w:type="textWrapping"/>
            </w:r>
            <w:r>
              <w:t>峰值时刻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right"/>
            </w:pPr>
            <w:r>
              <w:t>冷负荷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冷负荷</w:t>
            </w:r>
            <w:r>
              <w:br w:type="textWrapping"/>
            </w:r>
            <w:r>
              <w:t>峰值时刻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1月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r>
              <w:t>--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r>
              <w:t>--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2月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r>
              <w:t>--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r>
              <w:t>--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3月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r>
              <w:t>--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r>
              <w:t>--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4月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r>
              <w:t>--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r>
              <w:t>--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5月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1522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r>
              <w:t>--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25.358</w:t>
            </w:r>
          </w:p>
        </w:tc>
        <w:tc>
          <w:tcPr>
            <w:vAlign w:val="center"/>
          </w:tcPr>
          <w:p>
            <w:r>
              <w:t>5月27日20时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6月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17984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r>
              <w:t>--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color w:val="0000FF"/>
              </w:rPr>
              <w:t>118.713</w:t>
            </w:r>
          </w:p>
        </w:tc>
        <w:tc>
          <w:tcPr>
            <w:vAlign w:val="center"/>
          </w:tcPr>
          <w:p>
            <w:r>
              <w:rPr>
                <w:color w:val="0000FF"/>
              </w:rPr>
              <w:t>6月24日1时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7月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7272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r>
              <w:t>--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92.119</w:t>
            </w:r>
          </w:p>
        </w:tc>
        <w:tc>
          <w:tcPr>
            <w:vAlign w:val="center"/>
          </w:tcPr>
          <w:p>
            <w:r>
              <w:t>7月1日1时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8月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r>
              <w:t>--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r>
              <w:t>--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9月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r>
              <w:t>--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r>
              <w:t>--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10月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r>
              <w:t>--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r>
              <w:t>--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11月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r>
              <w:t>--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r>
              <w:t>--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12月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r>
              <w:t>--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r>
              <w:t>--</w:t>
            </w:r>
          </w:p>
        </w:tc>
      </w:tr>
    </w:tbl>
    <w:p>
      <w:pPr>
        <w:jc w:val="center"/>
      </w:pPr>
      <w:r>
        <w:drawing>
          <wp:inline distT="0" distB="0" distL="0" distR="0">
            <wp:extent cx="5667375" cy="2762250"/>
            <wp:effectExtent l="0" t="0" r="0" b="0"/>
            <wp:docPr id="56" name="图片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图片 56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6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drawing>
          <wp:inline distT="0" distB="0" distL="0" distR="0">
            <wp:extent cx="5667375" cy="2771775"/>
            <wp:effectExtent l="0" t="0" r="0" b="0"/>
            <wp:docPr id="57" name="图片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图片 57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7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</w:pPr>
      <w:bookmarkStart w:id="127" w:name="_Toc14962"/>
      <w:r>
        <w:t>逐月电耗</w:t>
      </w:r>
      <w:bookmarkEnd w:id="127"/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注:供冷供暖为冷热源及输配水泵电耗，热水为扣减太阳能后电耗，所有数据单位kWh/㎡。</w:t>
      </w:r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1"/>
        <w:gridCol w:w="1148"/>
        <w:gridCol w:w="1148"/>
        <w:gridCol w:w="1148"/>
        <w:gridCol w:w="1148"/>
        <w:gridCol w:w="1148"/>
        <w:gridCol w:w="848"/>
        <w:gridCol w:w="848"/>
        <w:gridCol w:w="84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月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供暖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空调风机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照明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插座设备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排风机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电梯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热水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Merge w:val="restart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Merge w:val="restart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Merge w:val="restart"/>
            <w:vAlign w:val="center"/>
          </w:tcPr>
          <w:p>
            <w:pPr>
              <w:jc w:val="right"/>
            </w:pPr>
            <w:r>
              <w:t>－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1.13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0.46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合计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1.68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</w:tr>
    </w:tbl>
    <w:p>
      <w:pPr>
        <w:pStyle w:val="2"/>
        <w:widowControl w:val="0"/>
        <w:jc w:val="both"/>
        <w:rPr>
          <w:color w:val="000000"/>
        </w:rPr>
      </w:pPr>
      <w:bookmarkStart w:id="128" w:name="_Toc1269"/>
      <w:r>
        <w:rPr>
          <w:color w:val="000000"/>
        </w:rPr>
        <w:t>计算结果</w:t>
      </w:r>
      <w:bookmarkEnd w:id="128"/>
    </w:p>
    <w:tbl>
      <w:tblPr>
        <w:tblStyle w:val="19"/>
        <w:tblW w:w="9333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6"/>
        <w:gridCol w:w="2761"/>
        <w:gridCol w:w="1637"/>
        <w:gridCol w:w="1637"/>
        <w:gridCol w:w="179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c>
          <w:tcPr>
            <w:tcW w:w="807" w:type="pct"/>
            <w:tcBorders>
              <w:top w:val="single" w:color="auto" w:sz="12" w:space="0"/>
            </w:tcBorders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能耗分类</w:t>
            </w:r>
          </w:p>
        </w:tc>
        <w:tc>
          <w:tcPr>
            <w:tcW w:w="1479" w:type="pct"/>
            <w:tcBorders>
              <w:top w:val="single" w:color="auto" w:sz="12" w:space="0"/>
              <w:bottom w:val="single" w:color="auto" w:sz="4" w:space="0"/>
            </w:tcBorders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能耗子类</w:t>
            </w:r>
          </w:p>
        </w:tc>
        <w:tc>
          <w:tcPr>
            <w:tcW w:w="877" w:type="pct"/>
            <w:tcBorders>
              <w:top w:val="single" w:color="auto" w:sz="12" w:space="0"/>
            </w:tcBorders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设计建筑</w:t>
            </w:r>
          </w:p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877" w:type="pct"/>
            <w:tcBorders>
              <w:top w:val="single" w:color="auto" w:sz="12" w:space="0"/>
            </w:tcBorders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参照建筑</w:t>
            </w:r>
            <w:bookmarkEnd w:id="1"/>
          </w:p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960" w:type="pct"/>
            <w:tcBorders>
              <w:top w:val="single" w:color="auto" w:sz="12" w:space="0"/>
            </w:tcBorders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29" w:name="节能率别名"/>
            <w:r>
              <w:rPr>
                <w:rFonts w:hint="eastAsia"/>
                <w:lang w:val="en-US"/>
              </w:rPr>
              <w:t>节能率</w:t>
            </w:r>
            <w:bookmarkEnd w:id="129"/>
          </w:p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（%）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restart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建筑负荷</w:t>
            </w:r>
          </w:p>
        </w:tc>
        <w:tc>
          <w:tcPr>
            <w:tcW w:w="1479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耗冷量</w:t>
            </w:r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30" w:name="耗冷量2"/>
            <w:r>
              <w:rPr>
                <w:rFonts w:hint="eastAsia"/>
                <w:lang w:val="en-US"/>
              </w:rPr>
              <w:t>6.12</w:t>
            </w:r>
            <w:bookmarkEnd w:id="130"/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31" w:name="参照建筑耗冷量2"/>
            <w:r>
              <w:rPr>
                <w:rFonts w:hint="eastAsia"/>
                <w:lang w:val="en-US"/>
              </w:rPr>
              <w:t>7.40</w:t>
            </w:r>
            <w:bookmarkEnd w:id="131"/>
          </w:p>
        </w:tc>
        <w:tc>
          <w:tcPr>
            <w:tcW w:w="960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32" w:name="节能率耗冷量2"/>
            <w:r>
              <w:rPr>
                <w:rFonts w:hint="eastAsia"/>
                <w:kern w:val="2"/>
                <w:szCs w:val="24"/>
                <w:lang w:val="en-US"/>
              </w:rPr>
              <w:t>17.31%</w:t>
            </w:r>
            <w:bookmarkEnd w:id="13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耗热量</w:t>
            </w:r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33" w:name="耗热量2"/>
            <w:r>
              <w:rPr>
                <w:rFonts w:hint="eastAsia"/>
                <w:lang w:val="en-US"/>
              </w:rPr>
              <w:t>0.00</w:t>
            </w:r>
            <w:bookmarkEnd w:id="133"/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34" w:name="参照建筑耗热量2"/>
            <w:r>
              <w:rPr>
                <w:lang w:val="en-US"/>
              </w:rPr>
              <w:t>0.00</w:t>
            </w:r>
            <w:bookmarkEnd w:id="134"/>
          </w:p>
        </w:tc>
        <w:tc>
          <w:tcPr>
            <w:tcW w:w="960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35" w:name="节能率耗热量2"/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  <w:bookmarkEnd w:id="13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tcBorders>
              <w:bottom w:val="single" w:color="auto" w:sz="12" w:space="0"/>
            </w:tcBorders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  <w:bottom w:val="single" w:color="auto" w:sz="12" w:space="0"/>
            </w:tcBorders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877" w:type="pct"/>
            <w:tcBorders>
              <w:bottom w:val="single" w:color="auto" w:sz="12" w:space="0"/>
            </w:tcBorders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36" w:name="耗冷耗热量2"/>
            <w:r>
              <w:rPr>
                <w:rFonts w:hint="eastAsia"/>
                <w:lang w:val="en-US"/>
              </w:rPr>
              <w:t>6.12</w:t>
            </w:r>
            <w:bookmarkEnd w:id="136"/>
          </w:p>
        </w:tc>
        <w:tc>
          <w:tcPr>
            <w:tcW w:w="877" w:type="pct"/>
            <w:tcBorders>
              <w:bottom w:val="single" w:color="auto" w:sz="12" w:space="0"/>
            </w:tcBorders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37" w:name="参照建筑耗冷耗热量2"/>
            <w:r>
              <w:rPr>
                <w:rFonts w:hint="eastAsia"/>
                <w:lang w:val="en-US"/>
              </w:rPr>
              <w:t>7.40</w:t>
            </w:r>
            <w:bookmarkEnd w:id="137"/>
          </w:p>
        </w:tc>
        <w:tc>
          <w:tcPr>
            <w:tcW w:w="960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38" w:name="节能率耗冷耗热量2"/>
            <w:r>
              <w:rPr>
                <w:rFonts w:hint="eastAsia"/>
                <w:kern w:val="2"/>
                <w:szCs w:val="24"/>
                <w:lang w:val="en-US"/>
              </w:rPr>
              <w:t>17.31%</w:t>
            </w:r>
            <w:bookmarkEnd w:id="13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restart"/>
            <w:tcBorders>
              <w:top w:val="single" w:color="auto" w:sz="12" w:space="0"/>
              <w:bottom w:val="single" w:color="auto" w:sz="12" w:space="0"/>
            </w:tcBorders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热回收</w:t>
            </w:r>
            <w:r>
              <w:rPr>
                <w:lang w:val="en-US"/>
              </w:rPr>
              <w:t>负荷</w:t>
            </w:r>
          </w:p>
        </w:tc>
        <w:tc>
          <w:tcPr>
            <w:tcW w:w="1479" w:type="pct"/>
            <w:tcBorders>
              <w:top w:val="single" w:color="auto" w:sz="12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</w:tc>
        <w:tc>
          <w:tcPr>
            <w:tcW w:w="877" w:type="pct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39" w:name="热回收供冷负荷"/>
            <w:r>
              <w:rPr>
                <w:rFonts w:hint="eastAsia"/>
                <w:lang w:val="en-US"/>
              </w:rPr>
              <w:t>0.00</w:t>
            </w:r>
            <w:bookmarkEnd w:id="139"/>
          </w:p>
        </w:tc>
        <w:tc>
          <w:tcPr>
            <w:tcW w:w="877" w:type="pct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kern w:val="2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tcBorders>
              <w:top w:val="single" w:color="auto" w:sz="4" w:space="0"/>
              <w:bottom w:val="single" w:color="auto" w:sz="12" w:space="0"/>
            </w:tcBorders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</w:tc>
        <w:tc>
          <w:tcPr>
            <w:tcW w:w="877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40" w:name="热回收供暖负荷"/>
            <w:r>
              <w:rPr>
                <w:rFonts w:hint="eastAsia"/>
                <w:lang w:val="en-US"/>
              </w:rPr>
              <w:t>0.00</w:t>
            </w:r>
            <w:bookmarkEnd w:id="140"/>
          </w:p>
        </w:tc>
        <w:tc>
          <w:tcPr>
            <w:tcW w:w="877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tcBorders>
              <w:bottom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kern w:val="2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tcBorders>
              <w:top w:val="single" w:color="auto" w:sz="4" w:space="0"/>
              <w:bottom w:val="single" w:color="auto" w:sz="12" w:space="0"/>
            </w:tcBorders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  <w:bottom w:val="single" w:color="auto" w:sz="12" w:space="0"/>
            </w:tcBorders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877" w:type="pct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41" w:name="热回收负荷"/>
            <w:r>
              <w:rPr>
                <w:rFonts w:hint="eastAsia"/>
                <w:lang w:val="en-US"/>
              </w:rPr>
              <w:t>0.00</w:t>
            </w:r>
            <w:bookmarkEnd w:id="141"/>
          </w:p>
        </w:tc>
        <w:tc>
          <w:tcPr>
            <w:tcW w:w="877" w:type="pct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ind w:firstLine="0" w:firstLineChars="0"/>
              <w:jc w:val="center"/>
              <w:rPr>
                <w:kern w:val="2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restart"/>
            <w:tcBorders>
              <w:top w:val="single" w:color="auto" w:sz="12" w:space="0"/>
            </w:tcBorders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供冷电耗</w:t>
            </w:r>
          </w:p>
        </w:tc>
        <w:tc>
          <w:tcPr>
            <w:tcW w:w="1479" w:type="pct"/>
            <w:tcBorders>
              <w:top w:val="single" w:color="auto" w:sz="12" w:space="0"/>
            </w:tcBorders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877" w:type="pct"/>
            <w:tcBorders>
              <w:top w:val="single" w:color="auto" w:sz="12" w:space="0"/>
            </w:tcBorders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42" w:name="冷源能耗"/>
            <w:r>
              <w:rPr>
                <w:lang w:val="en-US"/>
              </w:rPr>
              <w:t>0.00</w:t>
            </w:r>
            <w:bookmarkEnd w:id="142"/>
          </w:p>
        </w:tc>
        <w:tc>
          <w:tcPr>
            <w:tcW w:w="877" w:type="pct"/>
            <w:tcBorders>
              <w:top w:val="single" w:color="auto" w:sz="12" w:space="0"/>
            </w:tcBorders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43" w:name="参照建筑冷源能耗"/>
            <w:r>
              <w:rPr>
                <w:lang w:val="en-US"/>
              </w:rPr>
              <w:t>－</w:t>
            </w:r>
            <w:bookmarkEnd w:id="143"/>
          </w:p>
        </w:tc>
        <w:tc>
          <w:tcPr>
            <w:tcW w:w="960" w:type="pct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44" w:name="节能率空调能耗"/>
            <w:r>
              <w:rPr>
                <w:lang w:val="en-US"/>
              </w:rPr>
              <w:t>29.53%</w:t>
            </w:r>
            <w:bookmarkEnd w:id="14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45" w:name="冷却水泵能耗"/>
            <w:r>
              <w:rPr>
                <w:lang w:val="en-US"/>
              </w:rPr>
              <w:t>0.00</w:t>
            </w:r>
            <w:bookmarkEnd w:id="145"/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46" w:name="参照建筑冷却水泵能耗"/>
            <w:r>
              <w:rPr>
                <w:lang w:val="en-US"/>
              </w:rPr>
              <w:t>－</w:t>
            </w:r>
            <w:bookmarkEnd w:id="146"/>
          </w:p>
        </w:tc>
        <w:tc>
          <w:tcPr>
            <w:tcW w:w="960" w:type="pct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47" w:name="冷冻水泵能耗"/>
            <w:r>
              <w:rPr>
                <w:lang w:val="en-US"/>
              </w:rPr>
              <w:t>0.00</w:t>
            </w:r>
            <w:bookmarkEnd w:id="147"/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48" w:name="参照建筑冷冻水泵能耗"/>
            <w:r>
              <w:rPr>
                <w:lang w:val="en-US"/>
              </w:rPr>
              <w:t>－</w:t>
            </w:r>
            <w:bookmarkEnd w:id="148"/>
          </w:p>
        </w:tc>
        <w:tc>
          <w:tcPr>
            <w:tcW w:w="960" w:type="pct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49" w:name="冷却塔能耗"/>
            <w:r>
              <w:rPr>
                <w:rFonts w:hint="eastAsia"/>
                <w:lang w:val="en-US"/>
              </w:rPr>
              <w:t>0.00</w:t>
            </w:r>
            <w:bookmarkEnd w:id="149"/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50" w:name="参照建筑冷却塔能耗"/>
            <w:r>
              <w:rPr>
                <w:rFonts w:hint="eastAsia"/>
                <w:lang w:val="en-US"/>
              </w:rPr>
              <w:t>－</w:t>
            </w:r>
            <w:bookmarkEnd w:id="150"/>
          </w:p>
        </w:tc>
        <w:tc>
          <w:tcPr>
            <w:tcW w:w="960" w:type="pct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多联机/单元式空调</w:t>
            </w:r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51" w:name="单元式空调能耗"/>
            <w:r>
              <w:rPr>
                <w:lang w:val="en-US"/>
              </w:rPr>
              <w:t>1.45</w:t>
            </w:r>
            <w:bookmarkEnd w:id="151"/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52" w:name="参照建筑单元式空调能耗"/>
            <w:r>
              <w:rPr>
                <w:lang w:val="en-US"/>
              </w:rPr>
              <w:t>－</w:t>
            </w:r>
            <w:bookmarkEnd w:id="152"/>
          </w:p>
        </w:tc>
        <w:tc>
          <w:tcPr>
            <w:tcW w:w="960" w:type="pct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bottom w:val="single" w:color="auto" w:sz="4" w:space="0"/>
            </w:tcBorders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53" w:name="空调能耗"/>
            <w:r>
              <w:rPr>
                <w:lang w:val="en-US"/>
              </w:rPr>
              <w:t>1.45</w:t>
            </w:r>
            <w:bookmarkEnd w:id="153"/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54" w:name="参照建筑空调能耗"/>
            <w:r>
              <w:rPr>
                <w:lang w:val="en-US"/>
              </w:rPr>
              <w:t>2.05</w:t>
            </w:r>
            <w:bookmarkEnd w:id="154"/>
          </w:p>
        </w:tc>
        <w:tc>
          <w:tcPr>
            <w:tcW w:w="960" w:type="pct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restart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供暖电耗</w:t>
            </w:r>
          </w:p>
        </w:tc>
        <w:tc>
          <w:tcPr>
            <w:tcW w:w="1479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55" w:name="热源能耗"/>
            <w:r>
              <w:rPr>
                <w:lang w:val="en-US"/>
              </w:rPr>
              <w:t>0.00</w:t>
            </w:r>
            <w:bookmarkEnd w:id="155"/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56" w:name="参照建筑热源能耗"/>
            <w:r>
              <w:rPr>
                <w:lang w:val="en-US"/>
              </w:rPr>
              <w:t>－</w:t>
            </w:r>
            <w:bookmarkEnd w:id="156"/>
          </w:p>
        </w:tc>
        <w:tc>
          <w:tcPr>
            <w:tcW w:w="960" w:type="pct"/>
            <w:vMerge w:val="restar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57" w:name="节能率供暖能耗"/>
            <w:r>
              <w:rPr>
                <w:rFonts w:hint="eastAsia"/>
                <w:lang w:val="en-US"/>
              </w:rPr>
              <w:t>-</w:t>
            </w:r>
            <w:bookmarkEnd w:id="15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热源侧</w:t>
            </w:r>
            <w:r>
              <w:rPr>
                <w:lang w:val="en-US"/>
              </w:rPr>
              <w:t>水泵</w:t>
            </w:r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58" w:name="供暖热源侧水泵能耗"/>
            <w:r>
              <w:rPr>
                <w:rFonts w:hint="eastAsia"/>
                <w:lang w:val="en-US"/>
              </w:rPr>
              <w:t>0.00</w:t>
            </w:r>
            <w:bookmarkEnd w:id="158"/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59" w:name="热水泵能耗"/>
            <w:r>
              <w:rPr>
                <w:lang w:val="en-US"/>
              </w:rPr>
              <w:t>0.00</w:t>
            </w:r>
            <w:bookmarkEnd w:id="159"/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60" w:name="参照建筑热水泵能耗"/>
            <w:r>
              <w:rPr>
                <w:lang w:val="en-US"/>
              </w:rPr>
              <w:t>－</w:t>
            </w:r>
            <w:bookmarkEnd w:id="160"/>
          </w:p>
        </w:tc>
        <w:tc>
          <w:tcPr>
            <w:tcW w:w="960" w:type="pct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多联机/单元式热泵</w:t>
            </w:r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61" w:name="单元式热泵能耗"/>
            <w:r>
              <w:rPr>
                <w:lang w:val="en-US"/>
              </w:rPr>
              <w:t>0.00</w:t>
            </w:r>
            <w:bookmarkEnd w:id="161"/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62" w:name="参照建筑单元式热泵能耗"/>
            <w:r>
              <w:rPr>
                <w:lang w:val="en-US"/>
              </w:rPr>
              <w:t>－</w:t>
            </w:r>
            <w:bookmarkEnd w:id="162"/>
          </w:p>
        </w:tc>
        <w:tc>
          <w:tcPr>
            <w:tcW w:w="960" w:type="pct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</w:tcBorders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63" w:name="供暖能耗"/>
            <w:r>
              <w:rPr>
                <w:lang w:val="en-US"/>
              </w:rPr>
              <w:t>0.00</w:t>
            </w:r>
            <w:bookmarkEnd w:id="163"/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64" w:name="参照建筑供暖能耗"/>
            <w:r>
              <w:rPr>
                <w:lang w:val="en-US"/>
              </w:rPr>
              <w:t>0.00</w:t>
            </w:r>
            <w:bookmarkEnd w:id="164"/>
          </w:p>
        </w:tc>
        <w:tc>
          <w:tcPr>
            <w:tcW w:w="960" w:type="pct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restart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空调风机</w:t>
            </w:r>
            <w:r>
              <w:rPr>
                <w:lang w:val="en-US"/>
              </w:rPr>
              <w:t>电耗</w:t>
            </w:r>
          </w:p>
        </w:tc>
        <w:tc>
          <w:tcPr>
            <w:tcW w:w="1479" w:type="pct"/>
            <w:tcBorders>
              <w:top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独立新排风</w:t>
            </w:r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65" w:name="新排风系统能耗"/>
            <w:r>
              <w:rPr>
                <w:rFonts w:hint="eastAsia"/>
                <w:lang w:val="en-US"/>
              </w:rPr>
              <w:t>0.00</w:t>
            </w:r>
            <w:bookmarkEnd w:id="165"/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66" w:name="参照建筑新排风系统能耗"/>
            <w:r>
              <w:rPr>
                <w:lang w:val="en-US"/>
              </w:rPr>
              <w:t>－</w:t>
            </w:r>
            <w:bookmarkEnd w:id="166"/>
          </w:p>
        </w:tc>
        <w:tc>
          <w:tcPr>
            <w:tcW w:w="960" w:type="pct"/>
            <w:vMerge w:val="restar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67" w:name="节能率空调动力能耗"/>
            <w:r>
              <w:rPr>
                <w:rFonts w:hint="eastAsia"/>
                <w:lang w:val="en-US"/>
              </w:rPr>
              <w:t>-</w:t>
            </w:r>
            <w:bookmarkEnd w:id="16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</w:t>
            </w:r>
            <w:r>
              <w:rPr>
                <w:lang w:val="en-US"/>
              </w:rPr>
              <w:t>盘管</w:t>
            </w:r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68" w:name="风机盘管能耗"/>
            <w:r>
              <w:rPr>
                <w:rFonts w:hint="eastAsia"/>
                <w:lang w:val="en-US"/>
              </w:rPr>
              <w:t>0.00</w:t>
            </w:r>
            <w:bookmarkEnd w:id="168"/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69" w:name="参照建筑风机盘管能耗"/>
            <w:r>
              <w:rPr>
                <w:rFonts w:hint="eastAsia"/>
                <w:lang w:val="en-US"/>
              </w:rPr>
              <w:t>－</w:t>
            </w:r>
            <w:bookmarkEnd w:id="169"/>
          </w:p>
        </w:tc>
        <w:tc>
          <w:tcPr>
            <w:tcW w:w="960" w:type="pct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70" w:name="全空气系统能耗"/>
            <w:r>
              <w:rPr>
                <w:rFonts w:hint="eastAsia"/>
                <w:lang w:val="en-US"/>
              </w:rPr>
              <w:t>0.00</w:t>
            </w:r>
            <w:bookmarkEnd w:id="170"/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71" w:name="参照建筑全空气系统能耗"/>
            <w:r>
              <w:rPr>
                <w:rFonts w:hint="eastAsia"/>
                <w:lang w:val="en-US"/>
              </w:rPr>
              <w:t>－</w:t>
            </w:r>
            <w:bookmarkEnd w:id="171"/>
          </w:p>
        </w:tc>
        <w:tc>
          <w:tcPr>
            <w:tcW w:w="960" w:type="pct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</w:tcBorders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</w:t>
            </w:r>
            <w:r>
              <w:rPr>
                <w:lang w:val="en-US"/>
              </w:rPr>
              <w:t>合计</w:t>
            </w:r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72" w:name="空调动力能耗"/>
            <w:r>
              <w:rPr>
                <w:rFonts w:hint="eastAsia"/>
                <w:lang w:val="en-US"/>
              </w:rPr>
              <w:t>0.00</w:t>
            </w:r>
            <w:bookmarkEnd w:id="172"/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73" w:name="参照建筑空调动力能耗"/>
            <w:r>
              <w:rPr>
                <w:rFonts w:hint="eastAsia"/>
                <w:lang w:val="en-US"/>
              </w:rPr>
              <w:t>－</w:t>
            </w:r>
            <w:bookmarkEnd w:id="173"/>
          </w:p>
        </w:tc>
        <w:tc>
          <w:tcPr>
            <w:tcW w:w="960" w:type="pct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6" w:type="pct"/>
            <w:gridSpan w:val="2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采暖</w:t>
            </w:r>
            <w:r>
              <w:rPr>
                <w:lang w:val="en-US"/>
              </w:rPr>
              <w:t>空调电耗</w:t>
            </w:r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74" w:name="空调供暖风机能耗"/>
            <w:r>
              <w:rPr>
                <w:rFonts w:hint="eastAsia"/>
                <w:lang w:val="en-US"/>
              </w:rPr>
              <w:t>1.45</w:t>
            </w:r>
            <w:bookmarkEnd w:id="174"/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75" w:name="参照建筑空调供暖风机能耗"/>
            <w:r>
              <w:rPr>
                <w:lang w:val="en-US"/>
              </w:rPr>
              <w:t>2.05</w:t>
            </w:r>
            <w:bookmarkEnd w:id="175"/>
          </w:p>
        </w:tc>
        <w:tc>
          <w:tcPr>
            <w:tcW w:w="960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76" w:name="节能率空调供暖风机能耗"/>
            <w:r>
              <w:rPr>
                <w:rFonts w:hint="eastAsia"/>
                <w:lang w:val="en-US"/>
              </w:rPr>
              <w:t>29.53%</w:t>
            </w:r>
            <w:bookmarkEnd w:id="176"/>
          </w:p>
        </w:tc>
      </w:tr>
    </w:tbl>
    <w:p/>
    <w:p>
      <w:pPr>
        <w:widowControl w:val="0"/>
        <w:jc w:val="both"/>
        <w:rPr>
          <w:color w:val="000000"/>
        </w:rPr>
      </w:pPr>
    </w:p>
    <w:p>
      <w:pPr>
        <w:pStyle w:val="2"/>
        <w:widowControl w:val="0"/>
        <w:jc w:val="both"/>
        <w:rPr>
          <w:color w:val="000000"/>
        </w:rPr>
      </w:pPr>
      <w:bookmarkStart w:id="177" w:name="_Toc6220"/>
      <w:r>
        <w:rPr>
          <w:color w:val="000000"/>
        </w:rPr>
        <w:t>绿色建筑性能评估得分</w:t>
      </w:r>
      <w:bookmarkEnd w:id="177"/>
    </w:p>
    <w:tbl>
      <w:tblPr>
        <w:tblStyle w:val="19"/>
        <w:tblW w:w="9338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0"/>
        <w:gridCol w:w="5670"/>
        <w:gridCol w:w="992"/>
        <w:gridCol w:w="70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70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标准</w:t>
            </w:r>
            <w:r>
              <w:t>条文</w:t>
            </w:r>
          </w:p>
        </w:tc>
        <w:tc>
          <w:tcPr>
            <w:tcW w:w="5670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得分</w:t>
            </w:r>
            <w:r>
              <w:t>评价</w:t>
            </w:r>
          </w:p>
        </w:tc>
        <w:tc>
          <w:tcPr>
            <w:tcW w:w="992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节能率</w:t>
            </w:r>
          </w:p>
        </w:tc>
        <w:tc>
          <w:tcPr>
            <w:tcW w:w="706" w:type="dxa"/>
            <w:shd w:val="clear" w:color="auto" w:fill="E6E6E6"/>
            <w:vAlign w:val="center"/>
          </w:tcPr>
          <w:p>
            <w:pPr>
              <w:jc w:val="center"/>
            </w:pPr>
            <w:r>
              <w:t>得分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70" w:type="dxa"/>
            <w:vAlign w:val="center"/>
          </w:tcPr>
          <w:p>
            <w:r>
              <w:t xml:space="preserve">9.2.1 </w:t>
            </w:r>
            <w:r>
              <w:rPr>
                <w:rFonts w:hint="eastAsia"/>
              </w:rPr>
              <w:t>采取措施进</w:t>
            </w:r>
            <w:r>
              <w:t>一步降低建筑供暖空</w:t>
            </w:r>
            <w:r>
              <w:rPr>
                <w:rFonts w:hint="eastAsia"/>
              </w:rPr>
              <w:t>调</w:t>
            </w:r>
            <w:r>
              <w:t>系</w:t>
            </w:r>
            <w:r>
              <w:rPr>
                <w:rFonts w:hint="eastAsia"/>
              </w:rPr>
              <w:t>统</w:t>
            </w:r>
            <w:r>
              <w:t>的能</w:t>
            </w:r>
            <w:r>
              <w:rPr>
                <w:rFonts w:hint="eastAsia"/>
              </w:rPr>
              <w:t>耗</w:t>
            </w:r>
          </w:p>
        </w:tc>
        <w:tc>
          <w:tcPr>
            <w:tcW w:w="5670" w:type="dxa"/>
            <w:vAlign w:val="center"/>
          </w:tcPr>
          <w:p>
            <w:pPr>
              <w:widowControl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>评</w:t>
            </w:r>
            <w:r>
              <w:t>价</w:t>
            </w:r>
            <w:r>
              <w:rPr>
                <w:rFonts w:hint="eastAsia"/>
              </w:rPr>
              <w:t>总分值为</w:t>
            </w:r>
            <w:r>
              <w:t xml:space="preserve">30 </w:t>
            </w:r>
            <w:r>
              <w:rPr>
                <w:rFonts w:hint="eastAsia"/>
              </w:rPr>
              <w:t>分。建筑供暖空调系统能耗相比国家现行有关建筑节能标</w:t>
            </w:r>
            <w:r>
              <w:t xml:space="preserve">准降低40%, </w:t>
            </w:r>
            <w:r>
              <w:rPr>
                <w:rFonts w:hint="eastAsia"/>
              </w:rPr>
              <w:t>得</w:t>
            </w:r>
            <w:r>
              <w:t xml:space="preserve">10 </w:t>
            </w:r>
            <w:r>
              <w:rPr>
                <w:rFonts w:hint="eastAsia"/>
              </w:rPr>
              <w:t>分；每再降低</w:t>
            </w:r>
            <w:r>
              <w:t xml:space="preserve">10%, </w:t>
            </w:r>
            <w:r>
              <w:rPr>
                <w:rFonts w:hint="eastAsia"/>
              </w:rPr>
              <w:t>再得</w:t>
            </w:r>
            <w:r>
              <w:t xml:space="preserve">5 </w:t>
            </w:r>
            <w:r>
              <w:rPr>
                <w:rFonts w:hint="eastAsia"/>
              </w:rPr>
              <w:t>分，最高得</w:t>
            </w:r>
            <w:r>
              <w:t xml:space="preserve">30 </w:t>
            </w:r>
            <w:r>
              <w:rPr>
                <w:rFonts w:hint="eastAsia"/>
              </w:rPr>
              <w:t>分。</w:t>
            </w:r>
          </w:p>
        </w:tc>
        <w:tc>
          <w:tcPr>
            <w:tcW w:w="992" w:type="dxa"/>
            <w:vAlign w:val="center"/>
          </w:tcPr>
          <w:p>
            <w:r>
              <w:t>29.53%</w:t>
            </w:r>
            <w:bookmarkEnd w:id="0"/>
          </w:p>
        </w:tc>
        <w:tc>
          <w:tcPr>
            <w:tcW w:w="706" w:type="dxa"/>
            <w:vAlign w:val="center"/>
          </w:tcPr>
          <w:p>
            <w:bookmarkStart w:id="178" w:name="得分空调供暖风机能耗"/>
            <w:r>
              <w:t>0</w:t>
            </w:r>
            <w:bookmarkEnd w:id="178"/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70" w:type="dxa"/>
            <w:shd w:val="clear" w:color="auto" w:fill="E7E6E6" w:themeFill="background2"/>
            <w:vAlign w:val="center"/>
          </w:tcPr>
          <w:p>
            <w:r>
              <w:rPr>
                <w:rFonts w:hint="eastAsia"/>
              </w:rPr>
              <w:t>标准</w:t>
            </w:r>
            <w:r>
              <w:t>依据</w:t>
            </w:r>
          </w:p>
        </w:tc>
        <w:tc>
          <w:tcPr>
            <w:tcW w:w="7368" w:type="dxa"/>
            <w:gridSpan w:val="3"/>
            <w:vAlign w:val="center"/>
          </w:tcPr>
          <w:p>
            <w:r>
              <w:rPr>
                <w:rFonts w:hint="eastAsia"/>
              </w:rPr>
              <w:t>《绿色建筑评价标准》GB</w:t>
            </w:r>
            <w:r>
              <w:t>-</w:t>
            </w:r>
            <w:r>
              <w:rPr>
                <w:rFonts w:hint="eastAsia"/>
              </w:rPr>
              <w:t>T 50378-2019</w:t>
            </w:r>
          </w:p>
        </w:tc>
      </w:tr>
    </w:tbl>
    <w:p/>
    <w:p>
      <w:pPr>
        <w:widowControl w:val="0"/>
        <w:jc w:val="both"/>
        <w:rPr>
          <w:color w:val="000000"/>
        </w:rPr>
      </w:pPr>
    </w:p>
    <w:p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667375" cy="5133975"/>
            <wp:effectExtent l="0" t="0" r="0" b="0"/>
            <wp:docPr id="58" name="图片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图片 58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13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667375" cy="5095875"/>
            <wp:effectExtent l="0" t="0" r="0" b="0"/>
            <wp:docPr id="59" name="图片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图片 59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09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667375" cy="4133850"/>
            <wp:effectExtent l="0" t="0" r="0" b="0"/>
            <wp:docPr id="60" name="图片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图片 60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13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>
      <w:pPr>
        <w:pStyle w:val="2"/>
        <w:widowControl w:val="0"/>
        <w:jc w:val="both"/>
        <w:rPr>
          <w:color w:val="000000"/>
        </w:rPr>
      </w:pPr>
      <w:bookmarkStart w:id="179" w:name="_Toc23510"/>
      <w:r>
        <w:rPr>
          <w:color w:val="000000"/>
        </w:rPr>
        <w:t>附录</w:t>
      </w:r>
      <w:bookmarkEnd w:id="179"/>
    </w:p>
    <w:p>
      <w:pPr>
        <w:widowControl w:val="0"/>
        <w:jc w:val="both"/>
        <w:rPr>
          <w:color w:val="000000"/>
        </w:rPr>
      </w:pPr>
    </w:p>
    <w:p>
      <w:r>
        <w:t>暑假:7.15~8.25; 寒假：1.15~2.25</w:t>
      </w:r>
    </w:p>
    <w:p>
      <w:pPr>
        <w:pStyle w:val="4"/>
      </w:pPr>
      <w:bookmarkStart w:id="180" w:name="_Toc22007"/>
      <w:r>
        <w:t>工作日/节假日人员逐时在室率(%)</w:t>
      </w:r>
      <w:bookmarkEnd w:id="180"/>
    </w:p>
    <w:p/>
    <w:tbl>
      <w:tblPr>
        <w:tblStyle w:val="19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卧室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57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52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52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52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/>
    <w:p>
      <w:r>
        <w:t>注：第一行：工作日；第二行：节假日；第三行：寒假；第四行：暑假</w:t>
      </w:r>
    </w:p>
    <w:p>
      <w:pPr>
        <w:pStyle w:val="4"/>
      </w:pPr>
      <w:bookmarkStart w:id="181" w:name="_Toc8458"/>
      <w:r>
        <w:t>工作日/节假日照明开关时间表(%)</w:t>
      </w:r>
      <w:bookmarkEnd w:id="181"/>
    </w:p>
    <w:p/>
    <w:tbl>
      <w:tblPr>
        <w:tblStyle w:val="19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卧室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/>
    <w:p>
      <w:r>
        <w:t>注：第一行：工作日；第二行：节假日；第三行：寒假；第四行：暑假</w:t>
      </w:r>
    </w:p>
    <w:p>
      <w:pPr>
        <w:pStyle w:val="4"/>
      </w:pPr>
      <w:bookmarkStart w:id="182" w:name="_Toc15454"/>
      <w:r>
        <w:t>工作日/节假日设备逐时使用率(%)</w:t>
      </w:r>
      <w:bookmarkEnd w:id="182"/>
    </w:p>
    <w:p/>
    <w:tbl>
      <w:tblPr>
        <w:tblStyle w:val="19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卧室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</w:tbl>
    <w:p/>
    <w:p>
      <w:r>
        <w:t>注：第一行：工作日；第二行：节假日；第三行：寒假；第四行：暑假</w:t>
      </w:r>
    </w:p>
    <w:p>
      <w:pPr>
        <w:pStyle w:val="4"/>
      </w:pPr>
      <w:bookmarkStart w:id="183" w:name="_Toc14820"/>
      <w:r>
        <w:t>工作日/节假日空调系统运行时间表(1:开,0:关)</w:t>
      </w:r>
      <w:bookmarkEnd w:id="183"/>
    </w:p>
    <w:p>
      <w:r>
        <w:t>采暖期：</w:t>
      </w:r>
    </w:p>
    <w:tbl>
      <w:tblPr>
        <w:tblStyle w:val="19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>
      <w:r>
        <w:t>供冷期：</w:t>
      </w:r>
    </w:p>
    <w:p/>
    <w:tbl>
      <w:tblPr>
        <w:tblStyle w:val="19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/>
    <w:p>
      <w:r>
        <w:t>注：第一行：工作日；第二行：节假日；第三行：寒假；第四行：暑假</w:t>
      </w:r>
    </w:p>
    <w:p>
      <w:pPr>
        <w:pStyle w:val="4"/>
      </w:pPr>
      <w:bookmarkStart w:id="184" w:name="_Toc17215"/>
      <w:r>
        <w:t>工作日/节假日新风运行时间表(%)</w:t>
      </w:r>
      <w:bookmarkEnd w:id="184"/>
    </w:p>
    <w:p>
      <w:r>
        <w:t>采暖期：</w:t>
      </w:r>
    </w:p>
    <w:tbl>
      <w:tblPr>
        <w:tblStyle w:val="19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>
      <w:r>
        <w:t>供冷期：</w:t>
      </w:r>
    </w:p>
    <w:p/>
    <w:tbl>
      <w:tblPr>
        <w:tblStyle w:val="19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/>
    <w:p>
      <w:r>
        <w:t>注：第一行：工作日；第二行：节假日；第三行：寒假；第四行：暑假</w:t>
      </w:r>
    </w:p>
    <w:p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framePr w:wrap="around" w:vAnchor="text" w:hAnchor="margin" w:xAlign="center" w:y="1"/>
      <w:rPr>
        <w:rStyle w:val="22"/>
      </w:rPr>
    </w:pPr>
    <w:r>
      <w:rPr>
        <w:rStyle w:val="22"/>
      </w:rPr>
      <w:fldChar w:fldCharType="begin"/>
    </w:r>
    <w:r>
      <w:rPr>
        <w:rStyle w:val="22"/>
      </w:rPr>
      <w:instrText xml:space="preserve">PAGE  </w:instrText>
    </w:r>
    <w:r>
      <w:rPr>
        <w:rStyle w:val="22"/>
      </w:rPr>
      <w:fldChar w:fldCharType="separate"/>
    </w:r>
    <w:r>
      <w:rPr>
        <w:rStyle w:val="22"/>
      </w:rPr>
      <w:t>5</w:t>
    </w:r>
    <w:r>
      <w:rPr>
        <w:rStyle w:val="22"/>
      </w:rPr>
      <w:fldChar w:fldCharType="end"/>
    </w:r>
  </w:p>
  <w:p>
    <w:pPr>
      <w:pStyle w:val="1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framePr w:wrap="around" w:vAnchor="text" w:hAnchor="margin" w:xAlign="center" w:y="1"/>
      <w:rPr>
        <w:rStyle w:val="22"/>
      </w:rPr>
    </w:pPr>
    <w:r>
      <w:rPr>
        <w:rStyle w:val="22"/>
      </w:rPr>
      <w:fldChar w:fldCharType="begin"/>
    </w:r>
    <w:r>
      <w:rPr>
        <w:rStyle w:val="22"/>
      </w:rPr>
      <w:instrText xml:space="preserve">PAGE  </w:instrText>
    </w:r>
    <w:r>
      <w:rPr>
        <w:rStyle w:val="22"/>
      </w:rPr>
      <w:fldChar w:fldCharType="end"/>
    </w:r>
  </w:p>
  <w:p>
    <w:pPr>
      <w:pStyle w:val="1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  <w:jc w:val="left"/>
    </w:pPr>
    <w:r>
      <w:rPr>
        <w:lang w:val="en-US"/>
      </w:rPr>
      <w:drawing>
        <wp:inline distT="0" distB="0" distL="0" distR="0">
          <wp:extent cx="972185" cy="25146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A32D36"/>
    <w:rsid w:val="00022598"/>
    <w:rsid w:val="00037A4C"/>
    <w:rsid w:val="000B5101"/>
    <w:rsid w:val="000D5BDD"/>
    <w:rsid w:val="000E3614"/>
    <w:rsid w:val="000F7EF2"/>
    <w:rsid w:val="00122AE1"/>
    <w:rsid w:val="001369AE"/>
    <w:rsid w:val="0014776A"/>
    <w:rsid w:val="0015024C"/>
    <w:rsid w:val="0015635C"/>
    <w:rsid w:val="001974C3"/>
    <w:rsid w:val="001F3761"/>
    <w:rsid w:val="00203A7D"/>
    <w:rsid w:val="0021516D"/>
    <w:rsid w:val="00253598"/>
    <w:rsid w:val="002555B8"/>
    <w:rsid w:val="00256F4D"/>
    <w:rsid w:val="00297DDF"/>
    <w:rsid w:val="002B09FA"/>
    <w:rsid w:val="002F5E56"/>
    <w:rsid w:val="003031B3"/>
    <w:rsid w:val="0030437C"/>
    <w:rsid w:val="003121F7"/>
    <w:rsid w:val="00314D29"/>
    <w:rsid w:val="003B1303"/>
    <w:rsid w:val="003E0BD9"/>
    <w:rsid w:val="004016A3"/>
    <w:rsid w:val="00496524"/>
    <w:rsid w:val="004B4FD9"/>
    <w:rsid w:val="004D230F"/>
    <w:rsid w:val="004D449D"/>
    <w:rsid w:val="00517BC7"/>
    <w:rsid w:val="005215FB"/>
    <w:rsid w:val="00534262"/>
    <w:rsid w:val="005567C2"/>
    <w:rsid w:val="005755BA"/>
    <w:rsid w:val="005A5ADF"/>
    <w:rsid w:val="005E4E76"/>
    <w:rsid w:val="00624DAB"/>
    <w:rsid w:val="00694FCA"/>
    <w:rsid w:val="006E3B8E"/>
    <w:rsid w:val="007B5DF6"/>
    <w:rsid w:val="007D7FC4"/>
    <w:rsid w:val="008010DE"/>
    <w:rsid w:val="00847185"/>
    <w:rsid w:val="00883D6C"/>
    <w:rsid w:val="008A48DA"/>
    <w:rsid w:val="008B5A4C"/>
    <w:rsid w:val="008F507F"/>
    <w:rsid w:val="009677EB"/>
    <w:rsid w:val="00A32590"/>
    <w:rsid w:val="00A355BD"/>
    <w:rsid w:val="00A471F7"/>
    <w:rsid w:val="00A904CB"/>
    <w:rsid w:val="00AA47FE"/>
    <w:rsid w:val="00AA684C"/>
    <w:rsid w:val="00B056A3"/>
    <w:rsid w:val="00B269B2"/>
    <w:rsid w:val="00B41640"/>
    <w:rsid w:val="00B55B22"/>
    <w:rsid w:val="00B60841"/>
    <w:rsid w:val="00BF3420"/>
    <w:rsid w:val="00C46ED3"/>
    <w:rsid w:val="00C63237"/>
    <w:rsid w:val="00C64332"/>
    <w:rsid w:val="00C67778"/>
    <w:rsid w:val="00C813E3"/>
    <w:rsid w:val="00C97E25"/>
    <w:rsid w:val="00CA1A81"/>
    <w:rsid w:val="00CA563E"/>
    <w:rsid w:val="00CB5E85"/>
    <w:rsid w:val="00CE28AA"/>
    <w:rsid w:val="00D04BAE"/>
    <w:rsid w:val="00D40158"/>
    <w:rsid w:val="00D43C46"/>
    <w:rsid w:val="00D62A9A"/>
    <w:rsid w:val="00DB4CC2"/>
    <w:rsid w:val="00DC73AD"/>
    <w:rsid w:val="00DF470C"/>
    <w:rsid w:val="00E3135C"/>
    <w:rsid w:val="00E81ACD"/>
    <w:rsid w:val="00E841D9"/>
    <w:rsid w:val="00EA0F3F"/>
    <w:rsid w:val="00EE70BC"/>
    <w:rsid w:val="00EF1D87"/>
    <w:rsid w:val="00F75DD1"/>
    <w:rsid w:val="00F82291"/>
    <w:rsid w:val="00F82AF0"/>
    <w:rsid w:val="00F90461"/>
    <w:rsid w:val="00FA4B87"/>
    <w:rsid w:val="00FD4F00"/>
    <w:rsid w:val="00FF054E"/>
    <w:rsid w:val="00FF2243"/>
    <w:rsid w:val="11A32D36"/>
    <w:rsid w:val="1E480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qFormat="1" w:unhideWhenUsed="0" w:uiPriority="0" w:semiHidden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5"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1">
    <w:name w:val="Default Paragraph Font"/>
    <w:semiHidden/>
    <w:unhideWhenUsed/>
    <w:qFormat/>
    <w:uiPriority w:val="1"/>
  </w:style>
  <w:style w:type="table" w:default="1" w:styleId="1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semiHidden/>
    <w:qFormat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Balloon Text"/>
    <w:basedOn w:val="1"/>
    <w:link w:val="24"/>
    <w:qFormat/>
    <w:uiPriority w:val="0"/>
    <w:rPr>
      <w:sz w:val="18"/>
      <w:szCs w:val="18"/>
    </w:rPr>
  </w:style>
  <w:style w:type="paragraph" w:styleId="15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7">
    <w:name w:val="toc 1"/>
    <w:basedOn w:val="1"/>
    <w:next w:val="1"/>
    <w:semiHidden/>
    <w:qFormat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8">
    <w:name w:val="toc 2"/>
    <w:basedOn w:val="1"/>
    <w:next w:val="1"/>
    <w:semiHidden/>
    <w:qFormat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20">
    <w:name w:val="Table Grid"/>
    <w:basedOn w:val="19"/>
    <w:qFormat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2">
    <w:name w:val="page number"/>
    <w:basedOn w:val="21"/>
    <w:qFormat/>
    <w:uiPriority w:val="0"/>
  </w:style>
  <w:style w:type="character" w:styleId="23">
    <w:name w:val="Hyperlink"/>
    <w:qFormat/>
    <w:uiPriority w:val="0"/>
    <w:rPr>
      <w:color w:val="0000FF"/>
      <w:u w:val="single"/>
    </w:rPr>
  </w:style>
  <w:style w:type="character" w:customStyle="1" w:styleId="24">
    <w:name w:val="批注框文本 Char"/>
    <w:basedOn w:val="21"/>
    <w:link w:val="14"/>
    <w:qFormat/>
    <w:uiPriority w:val="0"/>
    <w:rPr>
      <w:sz w:val="18"/>
      <w:szCs w:val="18"/>
      <w:lang w:val="en-GB"/>
    </w:rPr>
  </w:style>
  <w:style w:type="character" w:customStyle="1" w:styleId="25">
    <w:name w:val="标题 1 Char"/>
    <w:basedOn w:val="21"/>
    <w:link w:val="2"/>
    <w:qFormat/>
    <w:uiPriority w:val="0"/>
    <w:rPr>
      <w:b/>
      <w:bCs/>
      <w:kern w:val="3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5" Type="http://schemas.openxmlformats.org/officeDocument/2006/relationships/fontTable" Target="fontTable.xml"/><Relationship Id="rId24" Type="http://schemas.openxmlformats.org/officeDocument/2006/relationships/numbering" Target="numbering.xml"/><Relationship Id="rId23" Type="http://schemas.openxmlformats.org/officeDocument/2006/relationships/customXml" Target="../customXml/item1.xml"/><Relationship Id="rId22" Type="http://schemas.openxmlformats.org/officeDocument/2006/relationships/image" Target="media/image14.png"/><Relationship Id="rId21" Type="http://schemas.openxmlformats.org/officeDocument/2006/relationships/image" Target="media/image13.png"/><Relationship Id="rId20" Type="http://schemas.openxmlformats.org/officeDocument/2006/relationships/image" Target="media/image12.png"/><Relationship Id="rId2" Type="http://schemas.openxmlformats.org/officeDocument/2006/relationships/settings" Target="settings.xml"/><Relationship Id="rId19" Type="http://schemas.openxmlformats.org/officeDocument/2006/relationships/image" Target="media/image11.png"/><Relationship Id="rId18" Type="http://schemas.openxmlformats.org/officeDocument/2006/relationships/image" Target="media/image10.png"/><Relationship Id="rId17" Type="http://schemas.openxmlformats.org/officeDocument/2006/relationships/image" Target="media/image9.png"/><Relationship Id="rId16" Type="http://schemas.openxmlformats.org/officeDocument/2006/relationships/image" Target="media/image8.png"/><Relationship Id="rId15" Type="http://schemas.openxmlformats.org/officeDocument/2006/relationships/image" Target="media/image7.png"/><Relationship Id="rId14" Type="http://schemas.openxmlformats.org/officeDocument/2006/relationships/image" Target="media/image6.png"/><Relationship Id="rId13" Type="http://schemas.openxmlformats.org/officeDocument/2006/relationships/image" Target="media/image5.png"/><Relationship Id="rId12" Type="http://schemas.openxmlformats.org/officeDocument/2006/relationships/image" Target="media/image4.png"/><Relationship Id="rId11" Type="http://schemas.openxmlformats.org/officeDocument/2006/relationships/image" Target="media/image3.png"/><Relationship Id="rId10" Type="http://schemas.openxmlformats.org/officeDocument/2006/relationships/image" Target="media/image2.bmp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86187\AppData\Local\Temp\tmp21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tmp21.dotx</Template>
  <Pages>23</Pages>
  <Words>5930</Words>
  <Characters>10206</Characters>
  <Lines>48</Lines>
  <Paragraphs>13</Paragraphs>
  <TotalTime>1</TotalTime>
  <ScaleCrop>false</ScaleCrop>
  <LinksUpToDate>false</LinksUpToDate>
  <CharactersWithSpaces>18178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2024-12-27T13:33:00Z</dcterms:created>
  <dc:creator>，</dc:creator>
  <cp:lastModifiedBy>。。。</cp:lastModifiedBy>
  <dcterms:modified xsi:type="dcterms:W3CDTF">2024-12-30T03:44:40Z</dcterms:modified>
  <dc:title>综合能耗节能率计算书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AF233019FAC444DBBF9969A0DE26A0B3_11</vt:lpwstr>
  </property>
  <property fmtid="{D5CDD505-2E9C-101B-9397-08002B2CF9AE}" pid="3" name="KSOProductBuildVer">
    <vt:lpwstr>2052-11.1.0.10072</vt:lpwstr>
  </property>
</Properties>
</file>