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绿动未来——基于绿色低碳建筑的</w:t>
      </w: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建造运行与维护实施方案</w:t>
      </w: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sdt>
      <w:sdtPr>
        <w:rPr>
          <w:b w:val="0"/>
          <w:bCs w:val="0"/>
          <w:kern w:val="2"/>
          <w:sz w:val="24"/>
          <w:szCs w:val="22"/>
          <w:lang w:val="zh-CN"/>
        </w:rPr>
        <w:id w:val="-156074504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4"/>
          <w:szCs w:val="22"/>
          <w:lang w:val="zh-CN"/>
        </w:rPr>
      </w:sdtEndPr>
      <w:sdtContent>
        <w:p>
          <w:pPr>
            <w:pStyle w:val="2"/>
            <w:numPr>
              <w:ilvl w:val="0"/>
              <w:numId w:val="0"/>
            </w:numPr>
            <w:spacing w:line="360" w:lineRule="auto"/>
            <w:rPr>
              <w:sz w:val="48"/>
              <w:szCs w:val="48"/>
            </w:rPr>
          </w:pPr>
          <w:bookmarkStart w:id="0" w:name="_Toc12681"/>
          <w:r>
            <w:rPr>
              <w:sz w:val="48"/>
              <w:szCs w:val="48"/>
              <w:lang w:val="zh-CN"/>
            </w:rPr>
            <w:t>目录</w:t>
          </w:r>
          <w:bookmarkEnd w:id="0"/>
        </w:p>
        <w:p>
          <w:pPr>
            <w:pStyle w:val="23"/>
            <w:tabs>
              <w:tab w:val="right" w:leader="dot" w:pos="8306"/>
            </w:tabs>
          </w:pPr>
          <w:r>
            <w:rPr>
              <w:sz w:val="28"/>
              <w:szCs w:val="21"/>
            </w:rPr>
            <w:fldChar w:fldCharType="begin"/>
          </w:r>
          <w:r>
            <w:rPr>
              <w:sz w:val="28"/>
              <w:szCs w:val="21"/>
            </w:rPr>
            <w:instrText xml:space="preserve"> TOC \o "1-3" \h \z \u </w:instrText>
          </w:r>
          <w:r>
            <w:rPr>
              <w:sz w:val="28"/>
              <w:szCs w:val="21"/>
            </w:rPr>
            <w:fldChar w:fldCharType="separate"/>
          </w: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HYPERLINK \l _Toc12681 </w:instrText>
          </w:r>
          <w:r>
            <w:rPr>
              <w:szCs w:val="21"/>
            </w:rPr>
            <w:fldChar w:fldCharType="separate"/>
          </w:r>
          <w:r>
            <w:rPr>
              <w:szCs w:val="48"/>
              <w:lang w:val="zh-CN"/>
            </w:rPr>
            <w:t>目录</w:t>
          </w:r>
          <w:r>
            <w:tab/>
          </w:r>
          <w:r>
            <w:fldChar w:fldCharType="begin"/>
          </w:r>
          <w:r>
            <w:instrText xml:space="preserve"> PAGEREF _Toc12681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21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_Toc21593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</w:rPr>
            <w:t>一、工程概况</w:t>
          </w:r>
          <w:r>
            <w:tab/>
          </w:r>
          <w:r>
            <w:fldChar w:fldCharType="begin"/>
          </w:r>
          <w:r>
            <w:instrText xml:space="preserve"> PAGEREF _Toc21593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_Toc8000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1.1建筑基本数据</w:t>
          </w:r>
          <w:r>
            <w:tab/>
          </w:r>
          <w:r>
            <w:fldChar w:fldCharType="begin"/>
          </w:r>
          <w:r>
            <w:instrText xml:space="preserve"> PAGEREF _Toc8000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_Toc11830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1.2</w:t>
          </w:r>
          <w:r>
            <w:rPr>
              <w:rFonts w:hint="eastAsia"/>
            </w:rPr>
            <w:t>绿色建筑寝室楼工程的特点</w:t>
          </w:r>
          <w:r>
            <w:tab/>
          </w:r>
          <w:r>
            <w:fldChar w:fldCharType="begin"/>
          </w:r>
          <w:r>
            <w:instrText xml:space="preserve"> PAGEREF _Toc11830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_Toc21826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</w:rPr>
            <w:t>二、运行与维护管理成本控制方案(</w:t>
          </w:r>
          <w:r>
            <w:t>水蓄能耦合地源热泵系统运行策略</w:t>
          </w:r>
          <w:r>
            <w:rPr>
              <w:rFonts w:hint="eastAsia"/>
            </w:rPr>
            <w:t>)</w:t>
          </w:r>
          <w:r>
            <w:tab/>
          </w:r>
          <w:r>
            <w:fldChar w:fldCharType="begin"/>
          </w:r>
          <w:r>
            <w:instrText xml:space="preserve"> PAGEREF _Toc21826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_Toc15240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2.1概述</w:t>
          </w:r>
          <w:r>
            <w:tab/>
          </w:r>
          <w:r>
            <w:fldChar w:fldCharType="begin"/>
          </w:r>
          <w:r>
            <w:instrText xml:space="preserve"> PAGEREF _Toc15240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_Toc12516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2系统配置</w:t>
          </w:r>
          <w:r>
            <w:tab/>
          </w:r>
          <w:r>
            <w:fldChar w:fldCharType="begin"/>
          </w:r>
          <w:r>
            <w:instrText xml:space="preserve"> PAGEREF _Toc12516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_Toc26874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t>运行策略</w:t>
          </w:r>
          <w:r>
            <w:tab/>
          </w:r>
          <w:r>
            <w:fldChar w:fldCharType="begin"/>
          </w:r>
          <w:r>
            <w:instrText xml:space="preserve"> PAGEREF _Toc26874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_Toc1575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3</w:t>
          </w:r>
          <w:r>
            <w:t>.1</w:t>
          </w:r>
          <w:r>
            <w:rPr>
              <w:rFonts w:hint="eastAsia"/>
              <w:lang w:val="en-US" w:eastAsia="zh-CN"/>
            </w:rPr>
            <w:t>地源热泵</w:t>
          </w:r>
          <w:r>
            <w:tab/>
          </w:r>
          <w:r>
            <w:fldChar w:fldCharType="begin"/>
          </w:r>
          <w:r>
            <w:instrText xml:space="preserve"> PAGEREF _Toc1575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_Toc29824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2.3.2</w:t>
          </w:r>
          <w:r>
            <w:rPr>
              <w:rFonts w:hint="eastAsia"/>
            </w:rPr>
            <w:t>其他设备</w:t>
          </w:r>
          <w:r>
            <w:tab/>
          </w:r>
          <w:r>
            <w:fldChar w:fldCharType="begin"/>
          </w:r>
          <w:r>
            <w:instrText xml:space="preserve"> PAGEREF _Toc29824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_Toc21829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>功能的实现</w:t>
          </w:r>
          <w:r>
            <w:tab/>
          </w:r>
          <w:r>
            <w:fldChar w:fldCharType="begin"/>
          </w:r>
          <w:r>
            <w:instrText xml:space="preserve"> PAGEREF _Toc21829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_Toc30523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4</w:t>
          </w:r>
          <w:r>
            <w:t>.1</w:t>
          </w:r>
          <w:r>
            <w:rPr>
              <w:rFonts w:hint="eastAsia"/>
            </w:rPr>
            <w:t>监控平台：</w:t>
          </w:r>
          <w:r>
            <w:tab/>
          </w:r>
          <w:r>
            <w:fldChar w:fldCharType="begin"/>
          </w:r>
          <w:r>
            <w:instrText xml:space="preserve"> PAGEREF _Toc30523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_Toc11639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4</w:t>
          </w:r>
          <w:r>
            <w:t>.2</w:t>
          </w:r>
          <w:r>
            <w:rPr>
              <w:rFonts w:hint="eastAsia"/>
            </w:rPr>
            <w:t>中央空调系统能源管理平台</w:t>
          </w:r>
          <w:r>
            <w:tab/>
          </w:r>
          <w:r>
            <w:fldChar w:fldCharType="begin"/>
          </w:r>
          <w:r>
            <w:instrText xml:space="preserve"> PAGEREF _Toc11639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_Toc15253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t>2.</w:t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人员培训与技能提升</w:t>
          </w:r>
          <w:r>
            <w:tab/>
          </w:r>
          <w:r>
            <w:fldChar w:fldCharType="begin"/>
          </w:r>
          <w:r>
            <w:instrText xml:space="preserve"> PAGEREF _Toc15253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_Toc12088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</w:t>
          </w:r>
          <w:r>
            <w:rPr>
              <w:rFonts w:hint="eastAsia"/>
            </w:rPr>
            <w:t>运行成本分析</w:t>
          </w:r>
          <w:r>
            <w:tab/>
          </w:r>
          <w:r>
            <w:fldChar w:fldCharType="begin"/>
          </w:r>
          <w:r>
            <w:instrText xml:space="preserve"> PAGEREF _Toc12088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_Toc10507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t>.</w:t>
          </w:r>
          <w:r>
            <w:rPr>
              <w:rFonts w:hint="eastAsia"/>
              <w:lang w:val="en-US" w:eastAsia="zh-CN"/>
            </w:rPr>
            <w:t>1</w:t>
          </w:r>
          <w:r>
            <w:t>郑州分时电价</w:t>
          </w:r>
          <w:r>
            <w:tab/>
          </w:r>
          <w:r>
            <w:fldChar w:fldCharType="begin"/>
          </w:r>
          <w:r>
            <w:instrText xml:space="preserve"> PAGEREF _Toc10507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_Toc29006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3.2</w:t>
          </w:r>
          <w:r>
            <w:t>负荷分布天数</w:t>
          </w:r>
          <w:r>
            <w:tab/>
          </w:r>
          <w:r>
            <w:fldChar w:fldCharType="begin"/>
          </w:r>
          <w:r>
            <w:instrText xml:space="preserve"> PAGEREF _Toc29006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_Toc7043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t>.3常规系统运行费用</w:t>
          </w:r>
          <w:r>
            <w:tab/>
          </w:r>
          <w:r>
            <w:fldChar w:fldCharType="begin"/>
          </w:r>
          <w:r>
            <w:instrText xml:space="preserve"> PAGEREF _Toc7043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_Toc26458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3.4</w:t>
          </w:r>
          <w:r>
            <w:t>蓄能水池方案运行费用</w:t>
          </w:r>
          <w:r>
            <w:tab/>
          </w:r>
          <w:r>
            <w:fldChar w:fldCharType="begin"/>
          </w:r>
          <w:r>
            <w:instrText xml:space="preserve"> PAGEREF _Toc26458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_Toc27172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3.5优化运行策略</w:t>
          </w:r>
          <w:r>
            <w:tab/>
          </w:r>
          <w:r>
            <w:fldChar w:fldCharType="begin"/>
          </w:r>
          <w:r>
            <w:instrText xml:space="preserve"> PAGEREF _Toc27172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_Toc7624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3.5.1动态调整</w:t>
          </w:r>
          <w:r>
            <w:tab/>
          </w:r>
          <w:r>
            <w:fldChar w:fldCharType="begin"/>
          </w:r>
          <w:r>
            <w:instrText xml:space="preserve"> PAGEREF _Toc7624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_Toc16898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3.5.2能源监测与分析</w:t>
          </w:r>
          <w:r>
            <w:tab/>
          </w:r>
          <w:r>
            <w:fldChar w:fldCharType="begin"/>
          </w:r>
          <w:r>
            <w:instrText xml:space="preserve"> PAGEREF _Toc16898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rPr>
              <w:bCs/>
              <w:szCs w:val="24"/>
              <w:lang w:val="zh-CN"/>
            </w:rPr>
            <w:fldChar w:fldCharType="begin"/>
          </w:r>
          <w:r>
            <w:rPr>
              <w:bCs/>
              <w:szCs w:val="24"/>
              <w:lang w:val="zh-CN"/>
            </w:rPr>
            <w:instrText xml:space="preserve"> HYPERLINK \l _Toc32337 </w:instrText>
          </w:r>
          <w:r>
            <w:rPr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</w:t>
          </w:r>
          <w:r>
            <w:rPr>
              <w:rFonts w:hint="eastAsia"/>
            </w:rPr>
            <w:t>结论</w:t>
          </w:r>
          <w:r>
            <w:tab/>
          </w:r>
          <w:r>
            <w:fldChar w:fldCharType="begin"/>
          </w:r>
          <w:r>
            <w:instrText xml:space="preserve"> PAGEREF _Toc32337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szCs w:val="24"/>
              <w:lang w:val="zh-CN"/>
            </w:rPr>
            <w:fldChar w:fldCharType="end"/>
          </w:r>
        </w:p>
        <w:p>
          <w:pPr>
            <w:spacing w:line="360" w:lineRule="auto"/>
          </w:pPr>
          <w:r>
            <w:rPr>
              <w:bCs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ascii="方正小标宋简体" w:hAnsi="方正小标宋简体" w:eastAsia="方正小标宋简体"/>
          <w:sz w:val="36"/>
          <w:szCs w:val="32"/>
        </w:rPr>
        <w:br w:type="page"/>
      </w:r>
    </w:p>
    <w:p>
      <w:pPr>
        <w:pStyle w:val="2"/>
        <w:numPr>
          <w:ilvl w:val="0"/>
          <w:numId w:val="0"/>
        </w:numPr>
        <w:spacing w:line="240" w:lineRule="auto"/>
      </w:pPr>
      <w:bookmarkStart w:id="1" w:name="_Toc21593"/>
      <w:r>
        <w:rPr>
          <w:rFonts w:hint="eastAsia"/>
        </w:rPr>
        <w:t>一、工程概况</w:t>
      </w:r>
      <w:bookmarkEnd w:id="1"/>
    </w:p>
    <w:p>
      <w:pPr>
        <w:pStyle w:val="3"/>
        <w:bidi w:val="0"/>
        <w:rPr>
          <w:rFonts w:hint="default"/>
          <w:lang w:val="en-US" w:eastAsia="zh-CN"/>
        </w:rPr>
      </w:pPr>
      <w:bookmarkStart w:id="2" w:name="_Toc8000"/>
      <w:r>
        <w:rPr>
          <w:rFonts w:hint="eastAsia"/>
          <w:lang w:val="en-US" w:eastAsia="zh-CN"/>
        </w:rPr>
        <w:t>1.1建筑基本数据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本项目基于的工程为郑州市某高级中学场区工程，位于河南省郑州市新郑市，建筑类型主要包括综合教研教学楼、餐厅、男女寝室楼。本项目共分为两期建设，每期所包含的范围如下：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1.总学生规模5328生(一期3600生，二期1728生)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2.总占地面积210亩(一期172.67亩二期37.33亩。)总学生规模5328生:(一期3600生，二期1728生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3.总建筑面积80969.17m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(一期60000.00m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，二期20969.17m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。)总学生规模5328生(一期3600生，二期1728生）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文聚焦绿色建筑寝室楼工程，详细探讨其维护管理策略与成本控制方法。通过对水蓄能耦合地源热泵系统等关键设施的深入分析，阐述如何保障系统高效运行、降低能耗及成本，为绿色建筑寝室楼的可持续发展提供理论与实践指导。</w:t>
      </w:r>
    </w:p>
    <w:p>
      <w:pPr>
        <w:pStyle w:val="3"/>
        <w:bidi w:val="0"/>
        <w:rPr>
          <w:rFonts w:hint="eastAsia"/>
          <w:lang w:eastAsia="zh-CN"/>
        </w:rPr>
      </w:pPr>
      <w:bookmarkStart w:id="3" w:name="_Toc11830"/>
      <w:r>
        <w:rPr>
          <w:rFonts w:hint="eastAsia"/>
          <w:lang w:val="en-US" w:eastAsia="zh-CN"/>
        </w:rPr>
        <w:t>1.2</w:t>
      </w:r>
      <w:r>
        <w:rPr>
          <w:rFonts w:hint="eastAsia"/>
        </w:rPr>
        <w:t>绿色建筑寝室楼工程的特点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节能环保绿色建筑寝室楼工程采用了一系列节能环保技术，如太阳能热水器、节能灯具、雨水收集系统等，能够有效地降低能源消耗和水资源浪费。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舒适健康绿色建筑寝室楼工程注重室内环境质量，采用了自然通风、采光等设计手段，能够为学生提供舒适、健康的居住环境。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可持续发展绿色建筑寝室楼工程强调可持续发展的理念，采用了可再生材料和环保技术，能够减少对环境的影响，实现建筑与自然的和谐共生。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numPr>
          <w:ilvl w:val="0"/>
          <w:numId w:val="0"/>
        </w:numPr>
      </w:pPr>
      <w:bookmarkStart w:id="4" w:name="_Toc21826"/>
      <w:r>
        <w:rPr>
          <w:rFonts w:hint="eastAsia"/>
        </w:rPr>
        <w:t>二、运行与维护管理成本控制方案(</w:t>
      </w:r>
      <w:r>
        <w:t>水蓄能耦合地源热泵系统运行策略</w:t>
      </w:r>
      <w:r>
        <w:rPr>
          <w:rFonts w:hint="eastAsia"/>
        </w:rPr>
        <w:t>)</w:t>
      </w:r>
      <w:bookmarkEnd w:id="4"/>
    </w:p>
    <w:p>
      <w:pPr>
        <w:pStyle w:val="3"/>
      </w:pPr>
      <w:bookmarkStart w:id="5" w:name="_Toc15240"/>
      <w:r>
        <w:rPr>
          <w:rFonts w:hint="eastAsia"/>
          <w:lang w:val="en-US" w:eastAsia="zh-CN"/>
        </w:rPr>
        <w:t>2.1概述</w:t>
      </w:r>
      <w:bookmarkEnd w:id="5"/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本项目致力于能源数字化、智能化以及多能互补平台的建立，采用基于互联网</w:t>
      </w:r>
      <w:r>
        <w:rPr>
          <w:rFonts w:ascii="宋体" w:hAnsi="宋体"/>
          <w:szCs w:val="24"/>
        </w:rPr>
        <w:t>+的地源热泵与水蓄能耦合系统</w:t>
      </w:r>
      <w:r>
        <w:rPr>
          <w:rFonts w:hint="eastAsia" w:ascii="宋体" w:hAnsi="宋体"/>
          <w:szCs w:val="24"/>
        </w:rPr>
        <w:t>，用于整个建筑群的运行与维护管理，</w:t>
      </w:r>
      <w:r>
        <w:rPr>
          <w:rFonts w:hint="eastAsia" w:ascii="宋体" w:hAnsi="宋体"/>
        </w:rPr>
        <w:t>基于互联网+智慧化监控平台，完成建筑能耗数据、环境参数、机房运行参数、室内运行参数的采集、接收、处理、展示。对采集通讯出现异常的设备进行报警及自我修复，对建筑能耗超标及能源资源浪费的建筑进行能耗报警。对能源站（机房）设备进行监控、展示、报警。</w:t>
      </w:r>
    </w:p>
    <w:p>
      <w:pPr>
        <w:autoSpaceDE w:val="0"/>
        <w:autoSpaceDN w:val="0"/>
        <w:adjustRightInd w:val="0"/>
        <w:spacing w:before="156" w:beforeLines="50"/>
        <w:ind w:firstLine="480" w:firstLineChars="200"/>
        <w:jc w:val="left"/>
        <w:rPr>
          <w:rFonts w:ascii="Times New Roman" w:hAnsi="Times New Roman" w:cs="Arial Unicode MS"/>
          <w:kern w:val="0"/>
          <w:szCs w:val="24"/>
          <w14:ligatures w14:val="none"/>
        </w:rPr>
      </w:pPr>
      <w:r>
        <w:rPr>
          <w:rFonts w:hint="eastAsia" w:ascii="Times New Roman" w:hAnsi="Times New Roman" w:cs="Arial Unicode MS"/>
          <w:kern w:val="0"/>
          <w:szCs w:val="24"/>
          <w14:ligatures w14:val="none"/>
        </w:rPr>
        <w:t>系统主要分以下几个功能模块：</w:t>
      </w:r>
    </w:p>
    <w:tbl>
      <w:tblPr>
        <w:tblStyle w:val="49"/>
        <w:tblpPr w:leftFromText="180" w:rightFromText="180" w:vertAnchor="text" w:tblpXSpec="center" w:tblpY="1"/>
        <w:tblW w:w="8181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084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insideH w:val="single" w:sz="4" w:space="0"/>
            </w:tcBorders>
            <w:shd w:val="clear" w:color="auto" w:fill="5B9BD5" w:themeFill="accent5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Times New Roman" w:hAnsi="Times New Roman" w:cs="Arial Unicode MS"/>
                <w:b/>
                <w:bCs/>
                <w:color w:val="FFFFFF" w:themeColor="background1"/>
                <w:kern w:val="0"/>
                <w:szCs w:val="24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cs="Arial Unicode MS"/>
                <w:b/>
                <w:bCs/>
                <w:color w:val="FFFFFF" w:themeColor="background1"/>
                <w:kern w:val="0"/>
                <w:szCs w:val="24"/>
                <w14:textFill>
                  <w14:solidFill>
                    <w14:schemeClr w14:val="bg1"/>
                  </w14:solidFill>
                </w14:textFill>
                <w14:ligatures w14:val="none"/>
              </w:rPr>
              <w:t>模块名称</w:t>
            </w:r>
          </w:p>
        </w:tc>
        <w:tc>
          <w:tcPr>
            <w:tcW w:w="6084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</w:tcBorders>
            <w:shd w:val="clear" w:color="auto" w:fill="5B9BD5" w:themeFill="accent5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Times New Roman" w:hAnsi="Times New Roman" w:cs="Arial Unicode MS"/>
                <w:b/>
                <w:bCs/>
                <w:color w:val="FFFFFF" w:themeColor="background1"/>
                <w:kern w:val="0"/>
                <w:szCs w:val="24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cs="Arial Unicode MS"/>
                <w:b/>
                <w:bCs/>
                <w:color w:val="FFFFFF" w:themeColor="background1"/>
                <w:kern w:val="0"/>
                <w:szCs w:val="24"/>
                <w14:textFill>
                  <w14:solidFill>
                    <w14:schemeClr w14:val="bg1"/>
                  </w14:solidFill>
                </w14:textFill>
                <w14:ligatures w14:val="none"/>
              </w:rPr>
              <w:t>功能说明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首页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查看所有监控建筑今日能耗、环比、总功率、采集器状态、空调状态、空调运行参数、节能报警。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机房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"/>
                <w:color w:val="00000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"/>
                <w:color w:val="000000"/>
                <w:szCs w:val="24"/>
                <w14:ligatures w14:val="none"/>
              </w:rPr>
              <w:t>主机房设备示意图，显示设备功率、详细运行参数、开启情况、负载率、频率、设备当日运行状况记录、控制参数值、系统参数值。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能耗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"/>
                <w:color w:val="00000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"/>
                <w:color w:val="000000"/>
                <w:szCs w:val="24"/>
                <w14:ligatures w14:val="none"/>
              </w:rPr>
              <w:t>提供分项查询、支路查询、能耗分析等与能耗数据相关的功能。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环境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提供建筑分楼层环境监督与控制。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风盘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提供建筑分楼层风盘监督与控制。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参数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机房系统设定点、系统参数、系统性能、设备数据的历史数据查询。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报警</w:t>
            </w:r>
          </w:p>
        </w:tc>
        <w:tc>
          <w:tcPr>
            <w:tcW w:w="60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420"/>
              <w:rPr>
                <w:rFonts w:ascii="Times New Roman" w:hAnsi="Times New Roman" w:cs="Arial Unicode MS"/>
                <w:kern w:val="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 Unicode MS"/>
                <w:kern w:val="0"/>
                <w:szCs w:val="24"/>
                <w14:ligatures w14:val="none"/>
              </w:rPr>
              <w:t>提供实时及历史的报警信息查看、处理及报警优先级、报警提示的设置。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97" w:type="dxa"/>
            <w:shd w:val="clear" w:color="auto" w:fill="DEEAF6" w:themeFill="accent5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Cs w:val="24"/>
                <w14:ligatures w14:val="none"/>
              </w:rPr>
            </w:pPr>
            <w:r>
              <w:rPr>
                <w:rFonts w:hint="eastAsia" w:ascii="Times New Roman" w:hAnsi="Times New Roman" w:cs="Arial"/>
                <w:color w:val="000000"/>
                <w:szCs w:val="24"/>
                <w14:ligatures w14:val="none"/>
              </w:rPr>
              <w:t>报表</w:t>
            </w:r>
          </w:p>
        </w:tc>
        <w:tc>
          <w:tcPr>
            <w:tcW w:w="6084" w:type="dxa"/>
            <w:shd w:val="clear" w:color="auto" w:fill="auto"/>
          </w:tcPr>
          <w:p>
            <w:pPr>
              <w:ind w:firstLine="420"/>
              <w:rPr>
                <w:rFonts w:ascii="Times New Roman" w:hAnsi="Times New Roman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cs="Times New Roman"/>
                <w:szCs w:val="24"/>
                <w14:ligatures w14:val="none"/>
              </w:rPr>
              <w:t>单栋或多栋建筑能耗综合使用情况日报表、周报表、月报表、年报表。</w:t>
            </w:r>
          </w:p>
        </w:tc>
      </w:tr>
    </w:tbl>
    <w:p>
      <w:r>
        <w:br w:type="page"/>
      </w:r>
    </w:p>
    <w:p>
      <w:pPr>
        <w:pStyle w:val="3"/>
      </w:pPr>
      <w:bookmarkStart w:id="6" w:name="_Toc12516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2系统配置</w:t>
      </w:r>
      <w:bookmarkEnd w:id="6"/>
    </w:p>
    <w:tbl>
      <w:tblPr>
        <w:tblStyle w:val="2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97"/>
        <w:gridCol w:w="3260"/>
        <w:gridCol w:w="709"/>
        <w:gridCol w:w="708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1597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3260" w:type="dxa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规格型号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单位</w:t>
            </w:r>
          </w:p>
        </w:tc>
        <w:tc>
          <w:tcPr>
            <w:tcW w:w="708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数量</w:t>
            </w:r>
          </w:p>
        </w:tc>
        <w:tc>
          <w:tcPr>
            <w:tcW w:w="1610" w:type="dxa"/>
            <w:shd w:val="clear" w:color="000000" w:fill="D9D9D9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地源热泵机组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供冷冷冻水7/12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，蓄冷冷冻水5/11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，制冷量1335KW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供热工况40/45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，蓄热工况41/47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，制热量1386KW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套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  <w:t>三期再投入两台对应制热量为1465KW的机组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地源热泵基载机组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供冷冷冻水7/12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，蓄冷冷冻水5/11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，制冷量495KW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供热工况40/45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，蓄热工况41/47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14:ligatures w14:val="none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，制热量555KW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套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szCs w:val="20"/>
          <w14:ligatures w14:val="none"/>
        </w:rPr>
      </w:pPr>
    </w:p>
    <w:p>
      <w:pPr>
        <w:adjustRightInd w:val="0"/>
        <w:snapToGrid w:val="0"/>
        <w:spacing w:line="360" w:lineRule="auto"/>
        <w:ind w:firstLine="482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蓄能水池概况：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1.一个消防水池兼做蓄冷水池，底面尺寸24m×7.75m，蓄水高度5.9m，有效水容积1097m³。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2.三个蓄冷蓄热合用水池，水池尺寸相同，单个水池底面尺寸24m×8.1m，蓄水高度5.9m，有效水容积1147m³。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3.蓄冷温度5/11</w:t>
      </w:r>
      <w:r>
        <w:rPr>
          <w:rFonts w:hint="eastAsia" w:ascii="宋体" w:hAnsi="宋体" w:cs="宋体"/>
          <w:szCs w:val="20"/>
          <w14:ligatures w14:val="none"/>
        </w:rPr>
        <w:t>℃</w:t>
      </w:r>
      <w:r>
        <w:rPr>
          <w:rFonts w:ascii="Times New Roman" w:hAnsi="Times New Roman" w:cs="Times New Roman"/>
          <w:szCs w:val="20"/>
          <w14:ligatures w14:val="none"/>
        </w:rPr>
        <w:t>，蓄热温度40/46</w:t>
      </w:r>
      <w:r>
        <w:rPr>
          <w:rFonts w:hint="eastAsia" w:ascii="宋体" w:hAnsi="宋体" w:cs="宋体"/>
          <w:szCs w:val="20"/>
          <w14:ligatures w14:val="none"/>
        </w:rPr>
        <w:t>℃</w:t>
      </w:r>
      <w:r>
        <w:rPr>
          <w:rFonts w:ascii="Times New Roman" w:hAnsi="Times New Roman" w:cs="Times New Roman"/>
          <w:szCs w:val="20"/>
          <w14:ligatures w14:val="none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4.蓄冷最大水体积4538m³；蓄热最大水体积3441 m³。</w:t>
      </w:r>
    </w:p>
    <w:p>
      <w:pPr>
        <w:pStyle w:val="3"/>
        <w:bidi w:val="0"/>
      </w:pPr>
      <w:bookmarkStart w:id="7" w:name="_Toc482703738"/>
      <w:bookmarkStart w:id="8" w:name="_Toc155708453"/>
      <w:bookmarkStart w:id="9" w:name="_Toc26874"/>
      <w:bookmarkStart w:id="10" w:name="_Toc155708454"/>
      <w:bookmarkStart w:id="11" w:name="_Toc482703739"/>
      <w:r>
        <w:rPr>
          <w:rFonts w:hint="eastAsia"/>
          <w:lang w:val="en-US" w:eastAsia="zh-CN"/>
        </w:rPr>
        <w:t>2.3</w:t>
      </w:r>
      <w:r>
        <w:t>运行策略</w:t>
      </w:r>
      <w:bookmarkEnd w:id="7"/>
      <w:bookmarkEnd w:id="8"/>
      <w:bookmarkEnd w:id="9"/>
    </w:p>
    <w:p>
      <w:pPr>
        <w:pStyle w:val="4"/>
      </w:pPr>
      <w:bookmarkStart w:id="12" w:name="_Toc1575"/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3</w:t>
      </w:r>
      <w:r>
        <w:t>.1</w:t>
      </w:r>
      <w:bookmarkEnd w:id="10"/>
      <w:bookmarkEnd w:id="11"/>
      <w:r>
        <w:rPr>
          <w:rFonts w:hint="eastAsia"/>
          <w:lang w:val="en-US" w:eastAsia="zh-CN"/>
        </w:rPr>
        <w:t>地源热泵</w:t>
      </w:r>
      <w:bookmarkEnd w:id="12"/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Cs w:val="20"/>
          <w14:ligatures w14:val="none"/>
        </w:rPr>
        <w:t>一期投入两台台制冷量为1335KW，制热量为1386KW的地源热泵主机，夜间低谷电价时段利用这两台主机对水池进行蓄冷，并配置一制冷量为495KW，制热量为555KW且带热回收系统的地源热泵基载主机满足夜间负荷。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定详细的日巡检制度，检查地源热泵机组的运行参数，包括压缩机的吸气压力、排气压力、油温等，确保其在正常范围内。例如，压缩机吸气压力应保持在0.4-0.6MPa，排气压力在1.6-2.0MPa之间，油温在40-60℃。每日检查水泵的运行状态，包括水流是否顺畅、有无异常振动和噪音，记录水泵的进出口压力，确保其扬程满足系统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对水蓄能装置进行检查，查看水箱的水位是否正常，水位波动应在设计允许范围内（如±5cm），检查水箱的保温层是否有破损，若发现破损应及时修复，以减少热量散失。检查蓄能系统的控制系统，确保温度传感器、液位传感器等设备工作正常，数据传输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进行一次全面的系统维护，包括对热泵机组的冷凝器、蒸发器进行清洗，去除污垢和杂质，提高传热效率。对水系统进行水质检测，分析酸碱度、硬度、微生物含量等指标，根据检测结果进行相应处理，如添加水质稳定剂或进行换水操作。</w:t>
      </w:r>
    </w:p>
    <w:p>
      <w:pPr>
        <w:pStyle w:val="4"/>
        <w:bidi w:val="0"/>
        <w:rPr>
          <w:rFonts w:hint="eastAsia"/>
        </w:rPr>
      </w:pPr>
      <w:bookmarkStart w:id="13" w:name="_Toc29824"/>
      <w:r>
        <w:rPr>
          <w:rFonts w:hint="eastAsia"/>
          <w:lang w:val="en-US" w:eastAsia="zh-CN"/>
        </w:rPr>
        <w:t>2.3.2</w:t>
      </w:r>
      <w:r>
        <w:rPr>
          <w:rFonts w:hint="eastAsia"/>
        </w:rPr>
        <w:t>其他设备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对于智能照明系统，定期检查灯具的亮度和发光效率，及时更换损坏的灯具。检查照明控制系统的传感器和控制器，确保其能根据环境光线和人员活动情况自动调节照明亮度。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雨水收集利用系统需每周检查雨水收集管道是否有堵塞，清理过滤器，确保雨水收集效率。每月检查储水箱的密封性和水质，防止漏水和水质恶化。</w:t>
      </w:r>
    </w:p>
    <w:p>
      <w:pPr>
        <w:pStyle w:val="3"/>
      </w:pPr>
      <w:bookmarkStart w:id="14" w:name="_Toc155708445"/>
      <w:bookmarkStart w:id="15" w:name="_Toc21829"/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功能的实现</w:t>
      </w:r>
      <w:bookmarkEnd w:id="14"/>
      <w:bookmarkEnd w:id="15"/>
    </w:p>
    <w:p>
      <w:pPr>
        <w:pStyle w:val="4"/>
      </w:pPr>
      <w:bookmarkStart w:id="16" w:name="_Toc155708446"/>
      <w:bookmarkStart w:id="17" w:name="_Toc30523"/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>.1</w:t>
      </w:r>
      <w:r>
        <w:rPr>
          <w:rFonts w:hint="eastAsia"/>
        </w:rPr>
        <w:t>监控平台：</w:t>
      </w:r>
      <w:bookmarkEnd w:id="16"/>
      <w:bookmarkEnd w:id="17"/>
    </w:p>
    <w:p>
      <w:pPr>
        <w:autoSpaceDE w:val="0"/>
        <w:autoSpaceDN w:val="0"/>
        <w:adjustRightInd w:val="0"/>
        <w:spacing w:before="156" w:beforeLines="50"/>
        <w:ind w:firstLine="480" w:firstLineChars="20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14:ligatures w14:val="none"/>
        </w:rPr>
        <w:t>通过对整个系统的监控平台的建立，可供管理人员及时方便的掌握以下有关系统的数据与状态：</w:t>
      </w:r>
    </w:p>
    <w:p>
      <w:pPr>
        <w:autoSpaceDE w:val="0"/>
        <w:autoSpaceDN w:val="0"/>
        <w:adjustRightInd w:val="0"/>
        <w:spacing w:before="156" w:beforeLines="50"/>
        <w:ind w:firstLine="482" w:firstLineChars="200"/>
        <w:jc w:val="left"/>
        <w:rPr>
          <w:rFonts w:ascii="宋体" w:hAnsi="宋体" w:cs="Arial Unicode MS"/>
          <w:b/>
          <w:bCs/>
          <w:kern w:val="0"/>
          <w:szCs w:val="24"/>
          <w14:ligatures w14:val="none"/>
        </w:rPr>
      </w:pPr>
      <w:r>
        <w:rPr>
          <w:rFonts w:hint="eastAsia" w:ascii="宋体" w:hAnsi="宋体" w:cs="Arial Unicode MS"/>
          <w:b/>
          <w:bCs/>
          <w:kern w:val="0"/>
          <w:szCs w:val="24"/>
          <w14:ligatures w14:val="none"/>
        </w:rPr>
        <w:t>（1）参数设定和显示，包括但不限于：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风盘、机组控制箱（柜）所有信息均送平台显示/设定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2.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各循环泵启停状态、参数显示/设定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3.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各电动阀启停状态与阀位显示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hint="eastAsia"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4.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蓄冷（热）温度、蓄水装置水层温度、释冷（热）温度、冷（热）量百分比等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5.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系统供水温度、系统回水温度、系统供水压力、系统回水压力、系统回水流量（瞬时流量、累计流量）等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6.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机房总冷（热）量计量、分楼冷（热）量计量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7.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监测井地温监测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8.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室外温湿度监测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9.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动态显示系统流程图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10.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故障报警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11.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传感器的故障诊断与报警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12.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历史数据的实时采集与曲线图记录并储存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13.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系统能源消耗的状态的实时显示</w:t>
      </w:r>
    </w:p>
    <w:p>
      <w:pPr>
        <w:autoSpaceDE w:val="0"/>
        <w:autoSpaceDN w:val="0"/>
        <w:adjustRightInd w:val="0"/>
        <w:spacing w:before="156" w:beforeLines="50"/>
        <w:ind w:firstLine="482" w:firstLineChars="200"/>
        <w:jc w:val="left"/>
        <w:rPr>
          <w:rFonts w:ascii="宋体" w:hAnsi="宋体" w:cs="Arial Unicode MS"/>
          <w:b/>
          <w:bCs/>
          <w:kern w:val="0"/>
          <w:szCs w:val="24"/>
          <w14:ligatures w14:val="none"/>
        </w:rPr>
      </w:pPr>
      <w:r>
        <w:rPr>
          <w:rFonts w:hint="eastAsia" w:ascii="宋体" w:hAnsi="宋体" w:cs="Arial Unicode MS"/>
          <w:b/>
          <w:bCs/>
          <w:kern w:val="0"/>
          <w:szCs w:val="24"/>
          <w14:ligatures w14:val="none"/>
        </w:rPr>
        <w:t>（2）控制功能，包括但不限于：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1.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手</w:t>
      </w:r>
      <w:r>
        <w:rPr>
          <w:rFonts w:ascii="宋体" w:hAnsi="宋体" w:cs="Arial Unicode MS"/>
          <w:kern w:val="0"/>
          <w:szCs w:val="24"/>
          <w14:ligatures w14:val="none"/>
        </w:rPr>
        <w:t>/</w:t>
      </w:r>
      <w:r>
        <w:rPr>
          <w:rFonts w:hint="eastAsia" w:ascii="宋体" w:hAnsi="宋体" w:cs="Arial Unicode MS"/>
          <w:kern w:val="0"/>
          <w:szCs w:val="24"/>
          <w14:ligatures w14:val="none"/>
        </w:rPr>
        <w:t>自动切换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2.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机房系统各设备手动控制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3.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机房系统自动控制</w:t>
      </w:r>
    </w:p>
    <w:p>
      <w:pPr>
        <w:pStyle w:val="39"/>
        <w:numPr>
          <w:numId w:val="0"/>
        </w:numPr>
        <w:autoSpaceDE w:val="0"/>
        <w:autoSpaceDN w:val="0"/>
        <w:adjustRightInd w:val="0"/>
        <w:spacing w:before="156" w:beforeLines="50"/>
        <w:ind w:left="403" w:leftChars="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:lang w:val="en-US" w:eastAsia="zh-CN"/>
          <w14:ligatures w14:val="none"/>
        </w:rPr>
        <w:t>4.</w:t>
      </w:r>
      <w:r>
        <w:rPr>
          <w:rFonts w:hint="eastAsia" w:ascii="宋体" w:hAnsi="宋体" w:cs="Arial Unicode MS"/>
          <w:kern w:val="0"/>
          <w:szCs w:val="24"/>
          <w14:ligatures w14:val="none"/>
        </w:rPr>
        <w:t>操作权限设定</w:t>
      </w:r>
    </w:p>
    <w:p>
      <w:pPr>
        <w:autoSpaceDE w:val="0"/>
        <w:autoSpaceDN w:val="0"/>
        <w:adjustRightInd w:val="0"/>
        <w:spacing w:before="156" w:beforeLines="50"/>
        <w:ind w:firstLine="480" w:firstLineChars="20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14:ligatures w14:val="none"/>
        </w:rPr>
        <w:t>负荷预测功能：建立计算机模型，综合分析实时室外气温、天气走势、历史记录、综合体等运行要求，自动推荐系统的运行方式。在满足末端负荷的前提下，充分发挥水蓄冷（热）系统的优势，选择最佳的系统运行模式。</w:t>
      </w:r>
    </w:p>
    <w:p>
      <w:pPr>
        <w:autoSpaceDE w:val="0"/>
        <w:autoSpaceDN w:val="0"/>
        <w:adjustRightInd w:val="0"/>
        <w:spacing w:before="156" w:beforeLines="50"/>
        <w:ind w:firstLine="482" w:firstLineChars="200"/>
        <w:jc w:val="left"/>
        <w:rPr>
          <w:rFonts w:ascii="宋体" w:hAnsi="宋体" w:cs="Arial Unicode MS"/>
          <w:b/>
          <w:bCs/>
          <w:kern w:val="0"/>
          <w:szCs w:val="24"/>
          <w14:ligatures w14:val="none"/>
        </w:rPr>
      </w:pPr>
      <w:r>
        <w:rPr>
          <w:rFonts w:hint="eastAsia" w:ascii="宋体" w:hAnsi="宋体" w:cs="Arial Unicode MS"/>
          <w:b/>
          <w:bCs/>
          <w:kern w:val="0"/>
          <w:szCs w:val="24"/>
          <w14:ligatures w14:val="none"/>
        </w:rPr>
        <w:t>（3）与中央空调系统能源管理平台进行数据对接</w:t>
      </w:r>
    </w:p>
    <w:p>
      <w:pPr>
        <w:autoSpaceDE w:val="0"/>
        <w:autoSpaceDN w:val="0"/>
        <w:adjustRightInd w:val="0"/>
        <w:spacing w:before="156" w:beforeLines="50"/>
        <w:ind w:firstLine="482" w:firstLineChars="200"/>
        <w:jc w:val="left"/>
        <w:rPr>
          <w:rFonts w:ascii="宋体" w:hAnsi="宋体" w:cs="Arial Unicode MS"/>
          <w:b/>
          <w:bCs/>
          <w:kern w:val="0"/>
          <w:szCs w:val="24"/>
          <w14:ligatures w14:val="none"/>
        </w:rPr>
      </w:pPr>
      <w:r>
        <w:rPr>
          <w:rFonts w:hint="eastAsia" w:ascii="宋体" w:hAnsi="宋体" w:cs="Arial Unicode MS"/>
          <w:b/>
          <w:bCs/>
          <w:kern w:val="0"/>
          <w:szCs w:val="24"/>
          <w14:ligatures w14:val="none"/>
        </w:rPr>
        <w:t>（4）与手机、PAD等移动设备数据对接</w:t>
      </w:r>
    </w:p>
    <w:p>
      <w:pPr>
        <w:pStyle w:val="4"/>
      </w:pPr>
      <w:bookmarkStart w:id="18" w:name="_Toc155708447"/>
      <w:bookmarkStart w:id="19" w:name="_Toc11639"/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>.2</w:t>
      </w:r>
      <w:r>
        <w:rPr>
          <w:rFonts w:hint="eastAsia"/>
        </w:rPr>
        <w:t>中央空调系统能源管理平台</w:t>
      </w:r>
      <w:bookmarkEnd w:id="18"/>
      <w:bookmarkEnd w:id="19"/>
    </w:p>
    <w:p>
      <w:pPr>
        <w:autoSpaceDE w:val="0"/>
        <w:autoSpaceDN w:val="0"/>
        <w:adjustRightInd w:val="0"/>
        <w:spacing w:before="156" w:beforeLines="50"/>
        <w:ind w:firstLine="480" w:firstLineChars="200"/>
        <w:jc w:val="left"/>
        <w:rPr>
          <w:rFonts w:ascii="宋体" w:hAnsi="宋体" w:cs="Arial Unicode MS"/>
          <w:kern w:val="0"/>
          <w:szCs w:val="24"/>
          <w14:ligatures w14:val="none"/>
        </w:rPr>
      </w:pPr>
      <w:r>
        <w:rPr>
          <w:rFonts w:hint="eastAsia" w:ascii="宋体" w:hAnsi="宋体" w:cs="Arial Unicode MS"/>
          <w:kern w:val="0"/>
          <w:szCs w:val="24"/>
          <w14:ligatures w14:val="none"/>
        </w:rPr>
        <w:t>通过对该整个中央空调系统能源管理平台的建立，可按照管理人员有关要求，包括但不局限于以下功能的实现：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（1）指定区域内的风机盘管状态监测及自动控制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（2）新风机组、排风的状态监测及控制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（2）机房监控平台所有参数及状态的送显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（3）热泵主机耗电量、辅机耗电量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（4）必要的数据计算与分析：系统性能系数COP等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（5）系统能够提供多种数据管理功能，包括数据采集和管理，历史数据存储、查询、打印和导出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（6）与手机、PAD2等移动设备数据对接</w:t>
      </w:r>
    </w:p>
    <w:p>
      <w:pPr>
        <w:spacing w:before="156" w:beforeLines="50"/>
        <w:rPr>
          <w:rFonts w:ascii="宋体" w:hAnsi="宋体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（7）平台系统方案需要与招标人一起进行深化设计</w:t>
      </w:r>
    </w:p>
    <w:p>
      <w:pPr>
        <w:spacing w:before="156" w:beforeLines="50"/>
        <w:rPr>
          <w:rFonts w:ascii="Times New Roman" w:hAnsi="Times New Roman" w:cs="Times New Roman"/>
          <w:szCs w:val="24"/>
          <w14:ligatures w14:val="none"/>
        </w:rPr>
      </w:pPr>
      <w:r>
        <w:rPr>
          <w:rFonts w:hint="eastAsia" w:ascii="宋体" w:hAnsi="宋体" w:cs="Times New Roman"/>
          <w:szCs w:val="24"/>
          <w14:ligatures w14:val="none"/>
        </w:rPr>
        <w:t>（8）与其他平台系统数据</w:t>
      </w:r>
      <w:r>
        <w:rPr>
          <w:rFonts w:hint="eastAsia" w:ascii="Times New Roman" w:hAnsi="Times New Roman" w:cs="Times New Roman"/>
          <w:szCs w:val="24"/>
          <w14:ligatures w14:val="none"/>
        </w:rPr>
        <w:t>互通，如园区能源管理平台、园区绿色节能平台等平台的无缝对接。</w:t>
      </w:r>
    </w:p>
    <w:p>
      <w:pPr>
        <w:pStyle w:val="3"/>
        <w:rPr>
          <w:rFonts w:hint="eastAsia"/>
        </w:rPr>
      </w:pPr>
      <w:bookmarkStart w:id="20" w:name="_Toc15253"/>
      <w:r>
        <w:t>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人员培训与技能提升</w:t>
      </w:r>
      <w:bookmarkEnd w:id="2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1.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组织专业技术人员参加定期培训课程，内容涵盖水蓄能耦合地源热泵系统的原理、操作、维护要点，以及其他绿色建筑设备的相关知识。培训频率为每季度一次，每次培训时长不少于4学时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2.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邀请设备厂家的技术专家进行现场指导和案例分析，提高维护人员对设备故障的诊断和处理能力。每年至少安排2次专家现场培训，每次培训针对不同的设备系统进行深入讲解和实操演练。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3.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14:ligatures w14:val="standardContextual"/>
        </w:rPr>
        <w:t>建立内部培训考核机制，对维护人员的培训效果进行评估，考核成绩与绩效挂钩，激励维护人员积极学习和提升技能。</w:t>
      </w:r>
    </w:p>
    <w:p>
      <w:pPr>
        <w:widowControl/>
        <w:jc w:val="left"/>
      </w:pPr>
      <w:r>
        <w:br w:type="page"/>
      </w:r>
    </w:p>
    <w:p>
      <w:pPr>
        <w:pStyle w:val="2"/>
        <w:numPr>
          <w:numId w:val="0"/>
        </w:numPr>
        <w:ind w:leftChars="0"/>
        <w:rPr>
          <w:rFonts w:hint="eastAsia"/>
        </w:rPr>
      </w:pPr>
      <w:bookmarkStart w:id="21" w:name="_Toc12088"/>
      <w:r>
        <w:rPr>
          <w:rFonts w:hint="eastAsia"/>
          <w:lang w:val="en-US" w:eastAsia="zh-CN"/>
        </w:rPr>
        <w:t>三、</w:t>
      </w:r>
      <w:r>
        <w:rPr>
          <w:rFonts w:hint="eastAsia"/>
        </w:rPr>
        <w:t>运行成本分析</w:t>
      </w:r>
      <w:bookmarkEnd w:id="21"/>
      <w:r>
        <w:rPr>
          <w:rFonts w:hint="eastAsia"/>
        </w:rPr>
        <w:t xml:space="preserve"> </w:t>
      </w:r>
    </w:p>
    <w:p>
      <w:pPr>
        <w:pStyle w:val="3"/>
        <w:bidi w:val="0"/>
      </w:pPr>
      <w:bookmarkStart w:id="22" w:name="_Toc482703745"/>
      <w:bookmarkStart w:id="23" w:name="_Toc155708460"/>
      <w:bookmarkStart w:id="24" w:name="_Toc10507"/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  <w:lang w:val="en-US" w:eastAsia="zh-CN"/>
        </w:rPr>
        <w:t>1</w:t>
      </w:r>
      <w:r>
        <w:t>郑州分时电价</w:t>
      </w:r>
      <w:bookmarkEnd w:id="22"/>
      <w:bookmarkEnd w:id="23"/>
      <w:bookmarkEnd w:id="24"/>
    </w:p>
    <w:tbl>
      <w:tblPr>
        <w:tblStyle w:val="2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361"/>
        <w:gridCol w:w="2361"/>
        <w:gridCol w:w="1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5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高峰</w:t>
            </w:r>
          </w:p>
        </w:tc>
        <w:tc>
          <w:tcPr>
            <w:tcW w:w="1385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低谷</w:t>
            </w:r>
          </w:p>
        </w:tc>
        <w:tc>
          <w:tcPr>
            <w:tcW w:w="109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平价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1" w:type="pct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时间段</w:t>
            </w: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  <w:t>08:00~12:00</w:t>
            </w:r>
          </w:p>
        </w:tc>
        <w:tc>
          <w:tcPr>
            <w:tcW w:w="1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  <w:t>00:00~8:00</w:t>
            </w:r>
          </w:p>
        </w:tc>
        <w:tc>
          <w:tcPr>
            <w:tcW w:w="10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  <w:t>12:00~18:00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1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  <w:t>18:00～22:00</w:t>
            </w:r>
          </w:p>
        </w:tc>
        <w:tc>
          <w:tcPr>
            <w:tcW w:w="1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0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2"/>
                <w14:ligatures w14:val="none"/>
              </w:rPr>
              <w:t>22:00～24:00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电价（元/KWh)</w:t>
            </w: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0.90017</w:t>
            </w:r>
          </w:p>
        </w:tc>
        <w:tc>
          <w:tcPr>
            <w:tcW w:w="1385" w:type="pct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0.32017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0.59120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</w:p>
    <w:p>
      <w:pPr>
        <w:pStyle w:val="3"/>
        <w:bidi w:val="0"/>
      </w:pPr>
      <w:bookmarkStart w:id="25" w:name="_Toc482703746"/>
      <w:bookmarkStart w:id="26" w:name="_Toc155708461"/>
      <w:bookmarkStart w:id="27" w:name="_Toc29006"/>
      <w:r>
        <w:rPr>
          <w:rFonts w:hint="eastAsia"/>
          <w:lang w:val="en-US" w:eastAsia="zh-CN"/>
        </w:rPr>
        <w:t>3.2</w:t>
      </w:r>
      <w:r>
        <w:t>负荷分布天数</w:t>
      </w:r>
      <w:bookmarkEnd w:id="25"/>
      <w:bookmarkEnd w:id="26"/>
      <w:bookmarkEnd w:id="27"/>
    </w:p>
    <w:tbl>
      <w:tblPr>
        <w:tblStyle w:val="2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负荷类型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100%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75%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50%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30%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 xml:space="preserve"> 天数（d）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  <w:t>120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t>其中供暖、供冷天数均为120天，其负荷分布天数如上表。</w:t>
      </w:r>
    </w:p>
    <w:p>
      <w:pPr>
        <w:pStyle w:val="3"/>
        <w:bidi w:val="0"/>
      </w:pPr>
      <w:bookmarkStart w:id="28" w:name="_Toc482703747"/>
      <w:bookmarkStart w:id="29" w:name="_Toc155708462"/>
      <w:bookmarkStart w:id="30" w:name="_Toc7043"/>
      <w:r>
        <w:rPr>
          <w:rFonts w:hint="eastAsia"/>
          <w:lang w:val="en-US" w:eastAsia="zh-CN"/>
        </w:rPr>
        <w:t>3</w:t>
      </w:r>
      <w:r>
        <w:t>.3常规系统运行费用</w:t>
      </w:r>
      <w:bookmarkEnd w:id="28"/>
      <w:bookmarkEnd w:id="29"/>
      <w:bookmarkEnd w:id="30"/>
    </w:p>
    <w:tbl>
      <w:tblPr>
        <w:tblStyle w:val="29"/>
        <w:tblW w:w="86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38"/>
        <w:gridCol w:w="709"/>
        <w:gridCol w:w="1095"/>
        <w:gridCol w:w="1108"/>
        <w:gridCol w:w="1129"/>
        <w:gridCol w:w="1082"/>
        <w:gridCol w:w="108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地源热泵系统运行费用计算表</w:t>
            </w:r>
          </w:p>
        </w:tc>
        <w:tc>
          <w:tcPr>
            <w:tcW w:w="14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333333" w:sz="8" w:space="0"/>
              <w:right w:val="single" w:color="333333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 xml:space="preserve">项 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目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333333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负荷率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运行天数（天）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高峰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平段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低谷</w:t>
            </w:r>
          </w:p>
        </w:tc>
        <w:tc>
          <w:tcPr>
            <w:tcW w:w="10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电费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333333" w:sz="8" w:space="0"/>
              <w:right w:val="single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333333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10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夏季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地源热泵机组+水泵+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4025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3826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602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75%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2898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2755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433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2013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1913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1264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1208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1148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181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10144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9642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2480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44.6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冬季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地源热泵机组+水泵+其他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3504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3031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573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75%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2523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2183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413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1752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1516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287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1051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909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172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8831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7639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1445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14:ligatures w14:val="none"/>
              </w:rPr>
              <w:t xml:space="preserve">36.6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18975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17281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3924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81.1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0"/>
          <w14:ligatures w14:val="none"/>
        </w:rPr>
      </w:pPr>
    </w:p>
    <w:p>
      <w:pPr>
        <w:widowControl/>
        <w:jc w:val="left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Cs w:val="20"/>
          <w14:ligatures w14:val="none"/>
        </w:rPr>
        <w:br w:type="page"/>
      </w:r>
    </w:p>
    <w:p>
      <w:pPr>
        <w:pStyle w:val="3"/>
        <w:bidi w:val="0"/>
      </w:pPr>
      <w:bookmarkStart w:id="31" w:name="_Toc155708463"/>
      <w:bookmarkStart w:id="32" w:name="_Toc482703748"/>
      <w:bookmarkStart w:id="33" w:name="_Toc26458"/>
      <w:r>
        <w:rPr>
          <w:rFonts w:hint="eastAsia"/>
          <w:lang w:val="en-US" w:eastAsia="zh-CN"/>
        </w:rPr>
        <w:t>3.4</w:t>
      </w:r>
      <w:r>
        <w:t>蓄能水池方案运行费用</w:t>
      </w:r>
      <w:bookmarkEnd w:id="31"/>
      <w:bookmarkEnd w:id="32"/>
      <w:bookmarkEnd w:id="33"/>
    </w:p>
    <w:tbl>
      <w:tblPr>
        <w:tblStyle w:val="29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90"/>
        <w:gridCol w:w="912"/>
        <w:gridCol w:w="830"/>
        <w:gridCol w:w="1094"/>
        <w:gridCol w:w="1082"/>
        <w:gridCol w:w="1082"/>
        <w:gridCol w:w="108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地源热泵耦合蓄能水池系统运行费用计算表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333333" w:sz="8" w:space="0"/>
              <w:right w:val="single" w:color="333333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 xml:space="preserve">项 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目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333333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负荷率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运行天数（天）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高峰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平段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低谷</w:t>
            </w:r>
          </w:p>
        </w:tc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电费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333333" w:sz="8" w:space="0"/>
              <w:right w:val="single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333333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（kWh）</w:t>
            </w: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夏季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地源热泵机组+水泵+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2779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5688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589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5519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4234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2540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3368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17981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冬季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地源热泵机组+水泵+其他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1386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5798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5121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3559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14:ligatures w14:val="none"/>
              </w:rPr>
              <w:t xml:space="preserve">2133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1.7 </w:t>
            </w:r>
          </w:p>
        </w:tc>
      </w:tr>
      <w:tr>
        <w:trPr>
          <w:trHeight w:val="459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1386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 xml:space="preserve">16610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8080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14:ligatures w14:val="none"/>
              </w:rPr>
              <w:t xml:space="preserve">16.8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14:ligatures w14:val="none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4754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34591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CFFCC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14:ligatures w14:val="none"/>
              </w:rPr>
              <w:t xml:space="preserve">38 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Cs w:val="20"/>
          <w14:ligatures w14:val="none"/>
        </w:rPr>
        <w:t>相较常规系统，一期年运行费用减少81.1-38=43.1万元。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4" w:name="_Toc27172"/>
      <w:r>
        <w:rPr>
          <w:rFonts w:hint="eastAsia"/>
          <w:lang w:val="en-US" w:eastAsia="zh-CN"/>
        </w:rPr>
        <w:t>3.5优化运行策略</w:t>
      </w:r>
      <w:bookmarkEnd w:id="34"/>
    </w:p>
    <w:p>
      <w:pPr>
        <w:pStyle w:val="4"/>
        <w:bidi w:val="0"/>
        <w:rPr>
          <w:rFonts w:hint="default"/>
          <w:lang w:val="en-US" w:eastAsia="zh-CN"/>
        </w:rPr>
      </w:pPr>
      <w:bookmarkStart w:id="35" w:name="_Toc7624"/>
      <w:r>
        <w:rPr>
          <w:rFonts w:hint="eastAsia"/>
          <w:lang w:val="en-US" w:eastAsia="zh-CN"/>
        </w:rPr>
        <w:t>3.5.1动态调整</w:t>
      </w:r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借鉴水蓄能耦合地源热泵系统在不同负荷率下的运行策略，根据寝室楼的实际入住率和季节变化，动态调整系统的运行模式。在低入住率或过渡季节，采用部分机组运行或蓄能装置单独供能的方式，降低能耗。例如，当入住率低于50%时，仅开启一台地源热泵主机，并优先利用蓄能水池中的能量满足寝室楼的冷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利用分时电价政策，合理安排设备的运行时间。在夜间低谷电价时段，加大地源热泵机组的运行功率，对水蓄能装置进行蓄能，白天则根据负荷需求，优先使用蓄存的能量，减少在高峰和平价电价时段的电力消耗。通过智能控制系统实现对设备运行时间的精确控制，确保在满足舒适度要求的前提下，最大程度降低电费支出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36" w:name="_Toc16898"/>
      <w:r>
        <w:rPr>
          <w:rFonts w:hint="eastAsia"/>
          <w:lang w:val="en-US" w:eastAsia="zh-CN"/>
        </w:rPr>
        <w:t>3.5.2能源监测与分析</w:t>
      </w:r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安装先进的能源监测系统，对寝室楼的各类能源消耗进行实时监测和数据采集，包括电力、水、热能等。监测系统应具备数据存储、分析和报表生成功能，能够按日、周、月、年等时间周期对能源消耗数据进行统计和分析，为能耗管理提供数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定期对能源消耗数据进行分析，找出能耗较高的设备或环节，采取针对性的节能措施。</w:t>
      </w:r>
    </w:p>
    <w:p>
      <w:pPr>
        <w:pStyle w:val="2"/>
        <w:numPr>
          <w:numId w:val="0"/>
        </w:numPr>
        <w:ind w:leftChars="0"/>
        <w:rPr>
          <w:rFonts w:hint="eastAsia"/>
        </w:rPr>
      </w:pPr>
      <w:bookmarkStart w:id="37" w:name="_Toc32337"/>
      <w:r>
        <w:rPr>
          <w:rFonts w:hint="eastAsia"/>
          <w:lang w:val="en-US" w:eastAsia="zh-CN"/>
        </w:rPr>
        <w:t>四、</w:t>
      </w:r>
      <w:r>
        <w:rPr>
          <w:rFonts w:hint="eastAsia"/>
        </w:rPr>
        <w:t>结论</w:t>
      </w:r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绿色建筑寝室楼工程的维护管理和成本控制是一个复杂的问题，需要综合考虑多个因素。通过建立健全维护管理制度、加强设备维护管理、提高学生的环保意识和加强安全管理等措施，可以有效地提高绿色建筑寝室楼工程的维护管理水平。通过在设计阶段、施工阶段和运营阶段加强成本控制，可以有效地降低绿色建筑寝室楼工程的建设成本和运营成本。总之，加强绿色建筑寝室楼工程的维护管理和成本控制，对于提高学生的生活质量、降低能源消耗和减少运营成本具有重要意义。</w:t>
      </w:r>
      <w:bookmarkStart w:id="38" w:name="_GoBack"/>
      <w:bookmarkEnd w:id="38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E985"/>
    <w:multiLevelType w:val="singleLevel"/>
    <w:tmpl w:val="061BE9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3F6993"/>
    <w:multiLevelType w:val="multilevel"/>
    <w:tmpl w:val="143F6993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2">
    <w:nsid w:val="592516B4"/>
    <w:multiLevelType w:val="multilevel"/>
    <w:tmpl w:val="592516B4"/>
    <w:lvl w:ilvl="0" w:tentative="0">
      <w:start w:val="1"/>
      <w:numFmt w:val="decimal"/>
      <w:pStyle w:val="58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F"/>
    <w:rsid w:val="001F334C"/>
    <w:rsid w:val="00213E2B"/>
    <w:rsid w:val="00217CA7"/>
    <w:rsid w:val="003430F2"/>
    <w:rsid w:val="00423CB3"/>
    <w:rsid w:val="00531AAF"/>
    <w:rsid w:val="0053438A"/>
    <w:rsid w:val="005B47E4"/>
    <w:rsid w:val="005E5DF7"/>
    <w:rsid w:val="006038CC"/>
    <w:rsid w:val="0061356F"/>
    <w:rsid w:val="00690764"/>
    <w:rsid w:val="006B7F0F"/>
    <w:rsid w:val="006D13D0"/>
    <w:rsid w:val="007962E8"/>
    <w:rsid w:val="007D380B"/>
    <w:rsid w:val="007F20A5"/>
    <w:rsid w:val="0087683D"/>
    <w:rsid w:val="008E192E"/>
    <w:rsid w:val="00921D73"/>
    <w:rsid w:val="009873CF"/>
    <w:rsid w:val="00AF4ADF"/>
    <w:rsid w:val="00AF4F0B"/>
    <w:rsid w:val="00C20481"/>
    <w:rsid w:val="00C67DCB"/>
    <w:rsid w:val="00C8624D"/>
    <w:rsid w:val="00C91618"/>
    <w:rsid w:val="00D72603"/>
    <w:rsid w:val="00F85D4C"/>
    <w:rsid w:val="00FB7EC6"/>
    <w:rsid w:val="01AC32A3"/>
    <w:rsid w:val="32AA4E52"/>
    <w:rsid w:val="504932D8"/>
    <w:rsid w:val="58155D27"/>
    <w:rsid w:val="7B6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7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 w:val="21"/>
      <w14:ligatures w14:val="none"/>
    </w:rPr>
  </w:style>
  <w:style w:type="paragraph" w:styleId="12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Times New Roman" w:eastAsia="楷体_GB2312" w:cs="Times New Roman"/>
      <w:kern w:val="0"/>
      <w:sz w:val="28"/>
      <w:szCs w:val="20"/>
      <w14:ligatures w14:val="none"/>
    </w:rPr>
  </w:style>
  <w:style w:type="paragraph" w:styleId="13">
    <w:name w:val="Document Map"/>
    <w:basedOn w:val="1"/>
    <w:link w:val="50"/>
    <w:semiHidden/>
    <w:unhideWhenUsed/>
    <w:qFormat/>
    <w:uiPriority w:val="99"/>
    <w:pPr>
      <w:adjustRightInd w:val="0"/>
      <w:snapToGrid w:val="0"/>
      <w:spacing w:line="360" w:lineRule="auto"/>
    </w:pPr>
    <w:rPr>
      <w:rFonts w:ascii="宋体" w:hAnsi="Times New Roman" w:cs="Times New Roman"/>
      <w:sz w:val="18"/>
      <w:szCs w:val="18"/>
      <w14:ligatures w14:val="none"/>
    </w:rPr>
  </w:style>
  <w:style w:type="paragraph" w:styleId="14">
    <w:name w:val="annotation text"/>
    <w:basedOn w:val="1"/>
    <w:link w:val="51"/>
    <w:semiHidden/>
    <w:unhideWhenUsed/>
    <w:qFormat/>
    <w:uiPriority w:val="0"/>
    <w:pPr>
      <w:jc w:val="left"/>
    </w:pPr>
    <w:rPr>
      <w:rFonts w:ascii="Times New Roman" w:hAnsi="Times New Roman" w:cs="Times New Roman"/>
      <w:sz w:val="21"/>
      <w:szCs w:val="24"/>
      <w14:ligatures w14:val="none"/>
    </w:rPr>
  </w:style>
  <w:style w:type="paragraph" w:styleId="15">
    <w:name w:val="Body Text 3"/>
    <w:basedOn w:val="1"/>
    <w:link w:val="52"/>
    <w:qFormat/>
    <w:uiPriority w:val="0"/>
    <w:pPr>
      <w:spacing w:line="300" w:lineRule="auto"/>
    </w:pPr>
    <w:rPr>
      <w:rFonts w:ascii="Times New Roman" w:hAnsi="Times New Roman" w:cs="Times New Roman"/>
      <w:color w:val="FF0000"/>
      <w:szCs w:val="20"/>
      <w14:ligatures w14:val="none"/>
    </w:r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 w:val="21"/>
      <w14:ligatures w14:val="none"/>
    </w:rPr>
  </w:style>
  <w:style w:type="paragraph" w:styleId="17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840" w:leftChars="400"/>
    </w:pPr>
    <w:rPr>
      <w:rFonts w:ascii="Times New Roman" w:hAnsi="Times New Roman" w:cs="Times New Roman"/>
      <w:szCs w:val="20"/>
      <w14:ligatures w14:val="none"/>
    </w:rPr>
  </w:style>
  <w:style w:type="paragraph" w:styleId="18">
    <w:name w:val="Plain Text"/>
    <w:basedOn w:val="1"/>
    <w:link w:val="53"/>
    <w:qFormat/>
    <w:uiPriority w:val="0"/>
    <w:rPr>
      <w:rFonts w:ascii="宋体" w:hAnsi="Courier New" w:cs="Times New Roman"/>
      <w:sz w:val="21"/>
      <w:szCs w:val="20"/>
      <w14:ligatures w14:val="none"/>
    </w:rPr>
  </w:style>
  <w:style w:type="paragraph" w:styleId="1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 w:val="21"/>
      <w14:ligatures w14:val="none"/>
    </w:rPr>
  </w:style>
  <w:style w:type="paragraph" w:styleId="20">
    <w:name w:val="Balloon Text"/>
    <w:basedOn w:val="1"/>
    <w:link w:val="54"/>
    <w:semiHidden/>
    <w:unhideWhenUsed/>
    <w:qFormat/>
    <w:uiPriority w:val="99"/>
    <w:pPr>
      <w:adjustRightInd w:val="0"/>
      <w:snapToGrid w:val="0"/>
    </w:pPr>
    <w:rPr>
      <w:rFonts w:ascii="Times New Roman" w:hAnsi="Times New Roman" w:cs="Times New Roman"/>
      <w:sz w:val="18"/>
      <w:szCs w:val="18"/>
      <w14:ligatures w14:val="none"/>
    </w:rPr>
  </w:style>
  <w:style w:type="paragraph" w:styleId="2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adjustRightInd w:val="0"/>
      <w:snapToGrid w:val="0"/>
      <w:spacing w:line="360" w:lineRule="auto"/>
    </w:pPr>
    <w:rPr>
      <w:rFonts w:ascii="Times New Roman" w:hAnsi="Times New Roman" w:cs="Times New Roman"/>
      <w:szCs w:val="20"/>
      <w14:ligatures w14:val="none"/>
    </w:rPr>
  </w:style>
  <w:style w:type="paragraph" w:styleId="24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1260" w:leftChars="600"/>
    </w:pPr>
    <w:rPr>
      <w:rFonts w:ascii="Times New Roman" w:hAnsi="Times New Roman" w:cs="Times New Roman"/>
      <w:szCs w:val="20"/>
      <w14:ligatures w14:val="none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 w:val="21"/>
      <w14:ligatures w14:val="none"/>
    </w:rPr>
  </w:style>
  <w:style w:type="paragraph" w:styleId="26">
    <w:name w:val="toc 2"/>
    <w:basedOn w:val="1"/>
    <w:next w:val="1"/>
    <w:unhideWhenUsed/>
    <w:qFormat/>
    <w:uiPriority w:val="39"/>
    <w:pPr>
      <w:adjustRightInd w:val="0"/>
      <w:snapToGrid w:val="0"/>
      <w:spacing w:line="360" w:lineRule="auto"/>
      <w:ind w:left="420" w:leftChars="200"/>
    </w:pPr>
    <w:rPr>
      <w:rFonts w:ascii="Times New Roman" w:hAnsi="Times New Roman" w:cs="Times New Roman"/>
      <w:szCs w:val="20"/>
      <w14:ligatures w14:val="none"/>
    </w:r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 w:val="21"/>
      <w14:ligatures w14:val="none"/>
    </w:rPr>
  </w:style>
  <w:style w:type="paragraph" w:styleId="28">
    <w:name w:val="annotation subject"/>
    <w:basedOn w:val="14"/>
    <w:next w:val="14"/>
    <w:link w:val="55"/>
    <w:semiHidden/>
    <w:unhideWhenUsed/>
    <w:qFormat/>
    <w:uiPriority w:val="99"/>
    <w:pPr>
      <w:adjustRightInd w:val="0"/>
      <w:snapToGrid w:val="0"/>
      <w:spacing w:line="360" w:lineRule="auto"/>
    </w:pPr>
    <w:rPr>
      <w:b/>
      <w:bCs/>
      <w:sz w:val="24"/>
      <w:szCs w:val="20"/>
    </w:rPr>
  </w:style>
  <w:style w:type="table" w:styleId="30">
    <w:name w:val="Table Grid"/>
    <w:basedOn w:val="2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FollowedHyperlink"/>
    <w:semiHidden/>
    <w:unhideWhenUsed/>
    <w:qFormat/>
    <w:uiPriority w:val="99"/>
    <w:rPr>
      <w:color w:val="800080"/>
      <w:u w:val="single"/>
    </w:rPr>
  </w:style>
  <w:style w:type="character" w:styleId="33">
    <w:name w:val="Emphasis"/>
    <w:basedOn w:val="31"/>
    <w:qFormat/>
    <w:uiPriority w:val="20"/>
    <w:rPr>
      <w:rFonts w:ascii="Times New Roman" w:hAnsi="Times New Roman" w:eastAsia="华文细黑"/>
      <w:b/>
      <w:iCs/>
      <w:color w:val="FF0000"/>
      <w:kern w:val="2"/>
      <w:sz w:val="24"/>
      <w:vertAlign w:val="baseline"/>
    </w:rPr>
  </w:style>
  <w:style w:type="character" w:styleId="34">
    <w:name w:val="Hyperlink"/>
    <w:basedOn w:val="3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36">
    <w:name w:val="页眉 字符"/>
    <w:basedOn w:val="31"/>
    <w:link w:val="22"/>
    <w:qFormat/>
    <w:uiPriority w:val="99"/>
    <w:rPr>
      <w:sz w:val="18"/>
      <w:szCs w:val="18"/>
    </w:rPr>
  </w:style>
  <w:style w:type="character" w:customStyle="1" w:styleId="37">
    <w:name w:val="页脚 字符"/>
    <w:basedOn w:val="31"/>
    <w:link w:val="21"/>
    <w:qFormat/>
    <w:uiPriority w:val="99"/>
    <w:rPr>
      <w:sz w:val="18"/>
      <w:szCs w:val="18"/>
    </w:rPr>
  </w:style>
  <w:style w:type="character" w:customStyle="1" w:styleId="38">
    <w:name w:val="标题 1 字符"/>
    <w:basedOn w:val="31"/>
    <w:link w:val="2"/>
    <w:qFormat/>
    <w:uiPriority w:val="9"/>
    <w:rPr>
      <w:b/>
      <w:bCs/>
      <w:kern w:val="44"/>
      <w:sz w:val="44"/>
      <w:szCs w:val="4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标题 2 字符"/>
    <w:basedOn w:val="31"/>
    <w:link w:val="3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1">
    <w:name w:val="标题 3 字符"/>
    <w:basedOn w:val="31"/>
    <w:link w:val="4"/>
    <w:qFormat/>
    <w:uiPriority w:val="9"/>
    <w:rPr>
      <w:b/>
      <w:bCs/>
      <w:sz w:val="32"/>
      <w:szCs w:val="32"/>
    </w:rPr>
  </w:style>
  <w:style w:type="character" w:customStyle="1" w:styleId="42">
    <w:name w:val="标题 4 字符"/>
    <w:basedOn w:val="3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3">
    <w:name w:val="标题 5 字符"/>
    <w:basedOn w:val="31"/>
    <w:link w:val="6"/>
    <w:qFormat/>
    <w:uiPriority w:val="9"/>
    <w:rPr>
      <w:b/>
      <w:bCs/>
      <w:sz w:val="28"/>
      <w:szCs w:val="28"/>
    </w:rPr>
  </w:style>
  <w:style w:type="character" w:customStyle="1" w:styleId="44">
    <w:name w:val="标题 6 字符"/>
    <w:basedOn w:val="31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5">
    <w:name w:val="标题 7 字符"/>
    <w:basedOn w:val="31"/>
    <w:link w:val="8"/>
    <w:qFormat/>
    <w:uiPriority w:val="9"/>
    <w:rPr>
      <w:b/>
      <w:bCs/>
      <w:sz w:val="24"/>
      <w:szCs w:val="24"/>
    </w:rPr>
  </w:style>
  <w:style w:type="character" w:customStyle="1" w:styleId="46">
    <w:name w:val="标题 8 字符"/>
    <w:basedOn w:val="31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7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table" w:customStyle="1" w:styleId="48">
    <w:name w:val="Grid Table 1 Light Accent 5"/>
    <w:basedOn w:val="29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List Table 4 Accent 5"/>
    <w:basedOn w:val="29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character" w:customStyle="1" w:styleId="50">
    <w:name w:val="文档结构图 字符"/>
    <w:basedOn w:val="31"/>
    <w:link w:val="13"/>
    <w:semiHidden/>
    <w:qFormat/>
    <w:uiPriority w:val="99"/>
    <w:rPr>
      <w:rFonts w:ascii="宋体" w:hAnsi="Times New Roman" w:eastAsia="宋体" w:cs="Times New Roman"/>
      <w:sz w:val="18"/>
      <w:szCs w:val="18"/>
      <w14:ligatures w14:val="none"/>
    </w:rPr>
  </w:style>
  <w:style w:type="character" w:customStyle="1" w:styleId="51">
    <w:name w:val="批注文字 字符"/>
    <w:basedOn w:val="31"/>
    <w:link w:val="14"/>
    <w:semiHidden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2">
    <w:name w:val="正文文本 3 字符"/>
    <w:basedOn w:val="31"/>
    <w:link w:val="15"/>
    <w:qFormat/>
    <w:uiPriority w:val="0"/>
    <w:rPr>
      <w:rFonts w:ascii="Times New Roman" w:hAnsi="Times New Roman" w:eastAsia="宋体" w:cs="Times New Roman"/>
      <w:color w:val="FF0000"/>
      <w:sz w:val="24"/>
      <w:szCs w:val="20"/>
      <w14:ligatures w14:val="none"/>
    </w:rPr>
  </w:style>
  <w:style w:type="character" w:customStyle="1" w:styleId="53">
    <w:name w:val="纯文本 字符"/>
    <w:basedOn w:val="31"/>
    <w:link w:val="18"/>
    <w:qFormat/>
    <w:uiPriority w:val="0"/>
    <w:rPr>
      <w:rFonts w:ascii="宋体" w:hAnsi="Courier New" w:eastAsia="宋体" w:cs="Times New Roman"/>
      <w:szCs w:val="20"/>
      <w14:ligatures w14:val="none"/>
    </w:rPr>
  </w:style>
  <w:style w:type="character" w:customStyle="1" w:styleId="54">
    <w:name w:val="批注框文本 字符"/>
    <w:basedOn w:val="31"/>
    <w:link w:val="2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5">
    <w:name w:val="批注主题 字符"/>
    <w:basedOn w:val="51"/>
    <w:link w:val="28"/>
    <w:semiHidden/>
    <w:qFormat/>
    <w:uiPriority w:val="99"/>
    <w:rPr>
      <w:rFonts w:ascii="Times New Roman" w:hAnsi="Times New Roman" w:eastAsia="宋体" w:cs="Times New Roman"/>
      <w:b/>
      <w:bCs/>
      <w:sz w:val="24"/>
      <w:szCs w:val="20"/>
      <w14:ligatures w14:val="none"/>
    </w:rPr>
  </w:style>
  <w:style w:type="table" w:customStyle="1" w:styleId="56">
    <w:name w:val="网格型1"/>
    <w:basedOn w:val="29"/>
    <w:qFormat/>
    <w:uiPriority w:val="3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超链接1"/>
    <w:basedOn w:val="31"/>
    <w:unhideWhenUsed/>
    <w:qFormat/>
    <w:uiPriority w:val="99"/>
    <w:rPr>
      <w:color w:val="0000FF"/>
      <w:u w:val="single"/>
    </w:rPr>
  </w:style>
  <w:style w:type="paragraph" w:customStyle="1" w:styleId="58">
    <w:name w:val="标题2"/>
    <w:basedOn w:val="1"/>
    <w:semiHidden/>
    <w:qFormat/>
    <w:uiPriority w:val="0"/>
    <w:pPr>
      <w:numPr>
        <w:ilvl w:val="0"/>
        <w:numId w:val="2"/>
      </w:numPr>
      <w:adjustRightInd w:val="0"/>
      <w:snapToGrid w:val="0"/>
      <w:spacing w:before="50" w:after="50"/>
      <w:jc w:val="left"/>
      <w:outlineLvl w:val="0"/>
    </w:pPr>
    <w:rPr>
      <w:rFonts w:ascii="Cambria" w:hAnsi="Cambria" w:cs="Times New Roman"/>
      <w:b/>
      <w:bCs/>
      <w:kern w:val="0"/>
      <w:szCs w:val="32"/>
      <w14:ligatures w14:val="none"/>
    </w:rPr>
  </w:style>
  <w:style w:type="paragraph" w:styleId="59">
    <w:name w:val="No Spacing"/>
    <w:basedOn w:val="1"/>
    <w:next w:val="1"/>
    <w:qFormat/>
    <w:uiPriority w:val="1"/>
    <w:pPr>
      <w:adjustRightInd w:val="0"/>
      <w:snapToGrid w:val="0"/>
      <w:spacing w:line="360" w:lineRule="auto"/>
      <w:ind w:firstLine="482"/>
      <w:jc w:val="left"/>
    </w:pPr>
    <w:rPr>
      <w:rFonts w:ascii="Times New Roman" w:hAnsi="Times New Roman" w:cs="Times New Roman"/>
      <w:szCs w:val="20"/>
      <w14:ligatures w14:val="none"/>
    </w:rPr>
  </w:style>
  <w:style w:type="character" w:customStyle="1" w:styleId="60">
    <w:name w:val="不明显强调1"/>
    <w:basedOn w:val="31"/>
    <w:qFormat/>
    <w:uiPriority w:val="19"/>
    <w:rPr>
      <w:i/>
      <w:iCs/>
      <w:color w:val="808080"/>
    </w:rPr>
  </w:style>
  <w:style w:type="paragraph" w:customStyle="1" w:styleId="61">
    <w:name w:val="TOC 标题1"/>
    <w:basedOn w:val="2"/>
    <w:next w:val="1"/>
    <w:unhideWhenUsed/>
    <w:qFormat/>
    <w:uiPriority w:val="39"/>
    <w:pPr>
      <w:keepNext w:val="0"/>
      <w:keepLines w:val="0"/>
      <w:widowControl/>
      <w:spacing w:before="480" w:after="0" w:line="276" w:lineRule="auto"/>
      <w:jc w:val="left"/>
      <w:outlineLvl w:val="9"/>
    </w:pPr>
    <w:rPr>
      <w:rFonts w:ascii="Cambria" w:hAnsi="Cambria" w:cs="Calibri"/>
      <w:color w:val="365F91"/>
      <w:kern w:val="0"/>
      <w:sz w:val="28"/>
      <w:szCs w:val="28"/>
      <w14:ligatures w14:val="none"/>
    </w:rPr>
  </w:style>
  <w:style w:type="paragraph" w:customStyle="1" w:styleId="62">
    <w:name w:val="p0"/>
    <w:basedOn w:val="1"/>
    <w:qFormat/>
    <w:uiPriority w:val="0"/>
    <w:pPr>
      <w:widowControl/>
      <w:snapToGrid w:val="0"/>
      <w:spacing w:line="360" w:lineRule="auto"/>
    </w:pPr>
    <w:rPr>
      <w:rFonts w:ascii="Times New Roman" w:hAnsi="Times New Roman" w:cs="Calibri"/>
      <w:kern w:val="0"/>
      <w:szCs w:val="24"/>
      <w14:ligatures w14:val="none"/>
    </w:rPr>
  </w:style>
  <w:style w:type="paragraph" w:customStyle="1" w:styleId="63">
    <w:name w:val="M正文"/>
    <w:basedOn w:val="1"/>
    <w:link w:val="64"/>
    <w:qFormat/>
    <w:uiPriority w:val="0"/>
    <w:pPr>
      <w:adjustRightInd w:val="0"/>
      <w:snapToGrid w:val="0"/>
      <w:spacing w:line="360" w:lineRule="auto"/>
    </w:pPr>
    <w:rPr>
      <w:rFonts w:ascii="Times New Roman" w:hAnsi="Times New Roman" w:cs="Times New Roman"/>
      <w:szCs w:val="21"/>
      <w14:ligatures w14:val="none"/>
    </w:rPr>
  </w:style>
  <w:style w:type="character" w:customStyle="1" w:styleId="64">
    <w:name w:val="M正文 Char"/>
    <w:basedOn w:val="31"/>
    <w:link w:val="63"/>
    <w:qFormat/>
    <w:uiPriority w:val="0"/>
    <w:rPr>
      <w:rFonts w:ascii="Times New Roman" w:hAnsi="Times New Roman" w:eastAsia="宋体" w:cs="Times New Roman"/>
      <w:sz w:val="24"/>
      <w:szCs w:val="21"/>
      <w14:ligatures w14:val="none"/>
    </w:rPr>
  </w:style>
  <w:style w:type="paragraph" w:customStyle="1" w:styleId="65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  <w14:ligatures w14:val="none"/>
    </w:rPr>
  </w:style>
  <w:style w:type="paragraph" w:customStyle="1" w:styleId="6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0"/>
      <w:lang w:val="en-US" w:eastAsia="zh-CN" w:bidi="ar-SA"/>
      <w14:ligatures w14:val="none"/>
    </w:rPr>
  </w:style>
  <w:style w:type="character" w:customStyle="1" w:styleId="67">
    <w:name w:val="样式 仿宋"/>
    <w:qFormat/>
    <w:uiPriority w:val="0"/>
    <w:rPr>
      <w:rFonts w:ascii="仿宋" w:hAnsi="仿宋" w:eastAsia="仿宋"/>
      <w:kern w:val="1"/>
    </w:rPr>
  </w:style>
  <w:style w:type="character" w:styleId="68">
    <w:name w:val="Placeholder Text"/>
    <w:basedOn w:val="31"/>
    <w:semiHidden/>
    <w:qFormat/>
    <w:uiPriority w:val="99"/>
    <w:rPr>
      <w:color w:val="808080"/>
    </w:rPr>
  </w:style>
  <w:style w:type="paragraph" w:customStyle="1" w:styleId="6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58A6E-8761-4167-8E1A-8DDD4AF45F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5006</Words>
  <Characters>28540</Characters>
  <Lines>237</Lines>
  <Paragraphs>66</Paragraphs>
  <TotalTime>1</TotalTime>
  <ScaleCrop>false</ScaleCrop>
  <LinksUpToDate>false</LinksUpToDate>
  <CharactersWithSpaces>33480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2024-01-05T15:31:00Z</dcterms:created>
  <dc:creator>22 李</dc:creator>
  <cp:lastModifiedBy>。。。</cp:lastModifiedBy>
  <dcterms:modified xsi:type="dcterms:W3CDTF">2024-12-30T04:26:25Z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