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民用三星项目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严寒和寒冷地区住宅建筑外窗传热系数降低比例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卧室分户墙和卧室分户楼板两侧房间之间的空气声隔声性能（计权标准化声压级差与交通噪声频谱修正量之和DnT,w+Ctr)≥50dB，卧室分户楼板的撞击声隔声性能（计权标准化撞击声压级L'nT,w）≤55dB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141.0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总得分：Q=（Q0+Q1+Q2+Q3+Q4+Q5+QA）/10=87.6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