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88313">
      <w:pPr>
        <w:ind w:firstLine="3092" w:firstLineChars="1100"/>
        <w:rPr>
          <w:lang w:val="en-US"/>
        </w:rPr>
      </w:pPr>
      <w:r>
        <w:rPr>
          <w:b/>
          <w:bCs/>
          <w:sz w:val="28"/>
          <w:szCs w:val="32"/>
          <w:lang w:val="en-US"/>
        </w:rPr>
        <w:t xml:space="preserve">建筑形体规则性判定报告 </w:t>
      </w:r>
      <w:r>
        <w:rPr>
          <w:lang w:val="en-US"/>
        </w:rPr>
        <w:t xml:space="preserve"> </w:t>
      </w:r>
    </w:p>
    <w:p w14:paraId="665093B9"/>
    <w:p w14:paraId="3BAE805C">
      <w:pPr>
        <w:rPr>
          <w:lang w:val="en-US"/>
        </w:rPr>
      </w:pPr>
      <w:r>
        <w:rPr>
          <w:lang w:val="en-US"/>
        </w:rPr>
        <w:t xml:space="preserve">项目名称： </w:t>
      </w:r>
      <w:r>
        <w:rPr>
          <w:rFonts w:hint="eastAsia"/>
          <w:lang w:val="en-US" w:eastAsia="zh-CN"/>
        </w:rPr>
        <w:t>食韵明堂</w:t>
      </w:r>
      <w:r>
        <w:rPr>
          <w:lang w:val="en-US"/>
        </w:rPr>
        <w:t xml:space="preserve"> </w:t>
      </w:r>
    </w:p>
    <w:p w14:paraId="10C246FB">
      <w:pPr>
        <w:rPr>
          <w:lang w:val="en-US"/>
        </w:rPr>
      </w:pPr>
      <w:r>
        <w:rPr>
          <w:lang w:val="en-US"/>
        </w:rPr>
        <w:t>项目地址： 青岛市即墨区</w:t>
      </w:r>
      <w:r>
        <w:rPr>
          <w:rFonts w:hint="eastAsia"/>
          <w:lang w:val="en-US" w:eastAsia="zh-CN"/>
        </w:rPr>
        <w:t>职业教育园区</w:t>
      </w:r>
      <w:r>
        <w:rPr>
          <w:lang w:val="en-US"/>
        </w:rPr>
        <w:t xml:space="preserve">  </w:t>
      </w:r>
    </w:p>
    <w:p w14:paraId="221A9DE5">
      <w:pPr>
        <w:rPr>
          <w:lang w:val="en-US"/>
        </w:rPr>
      </w:pPr>
      <w:r>
        <w:rPr>
          <w:lang w:val="en-US"/>
        </w:rPr>
        <w:t xml:space="preserve">报告编号： QDJM20250314  </w:t>
      </w:r>
    </w:p>
    <w:p w14:paraId="43A85723">
      <w:pPr>
        <w:rPr>
          <w:lang w:val="en-US"/>
        </w:rPr>
      </w:pPr>
      <w:r>
        <w:rPr>
          <w:lang w:val="en-US"/>
        </w:rPr>
        <w:t xml:space="preserve">报告日期： 2025年3月14日  </w:t>
      </w:r>
    </w:p>
    <w:p w14:paraId="617010FC"/>
    <w:p w14:paraId="3561118D">
      <w:pPr>
        <w:rPr>
          <w:lang w:val="en-US"/>
        </w:rPr>
      </w:pPr>
      <w:r>
        <w:rPr>
          <w:lang w:val="en-US"/>
        </w:rPr>
        <w:t xml:space="preserve"> 一、项目概况  </w:t>
      </w:r>
    </w:p>
    <w:p w14:paraId="742F19DF">
      <w:pPr>
        <w:rPr>
          <w:lang w:val="en-US"/>
        </w:rPr>
      </w:pPr>
      <w:r>
        <w:rPr>
          <w:lang w:val="en-US"/>
        </w:rPr>
        <w:t xml:space="preserve">1. 建筑名称： </w:t>
      </w:r>
      <w:r>
        <w:rPr>
          <w:rFonts w:hint="eastAsia"/>
          <w:lang w:val="en-US" w:eastAsia="zh-CN"/>
        </w:rPr>
        <w:t>食韵明堂</w:t>
      </w:r>
      <w:r>
        <w:rPr>
          <w:lang w:val="en-US"/>
        </w:rPr>
        <w:t xml:space="preserve"> </w:t>
      </w:r>
    </w:p>
    <w:p w14:paraId="6875FF70">
      <w:pPr>
        <w:rPr>
          <w:lang w:val="en-US"/>
        </w:rPr>
      </w:pPr>
      <w:r>
        <w:rPr>
          <w:lang w:val="en-US"/>
        </w:rPr>
        <w:t xml:space="preserve">2. 建筑功能： 公共餐饮建筑  </w:t>
      </w:r>
    </w:p>
    <w:p w14:paraId="6507FAF3">
      <w:pPr>
        <w:rPr>
          <w:lang w:val="en-US"/>
        </w:rPr>
      </w:pPr>
      <w:r>
        <w:rPr>
          <w:lang w:val="en-US"/>
        </w:rPr>
        <w:t xml:space="preserve">3. 建筑层数： 地上3层，  </w:t>
      </w:r>
    </w:p>
    <w:p w14:paraId="06CEB77C">
      <w:pPr>
        <w:rPr>
          <w:lang w:val="en-US"/>
        </w:rPr>
      </w:pPr>
      <w:r>
        <w:rPr>
          <w:lang w:val="en-US"/>
        </w:rPr>
        <w:t>4. 建筑高度： 1</w:t>
      </w:r>
      <w:r>
        <w:rPr>
          <w:rFonts w:hint="eastAsia"/>
          <w:lang w:val="en-US" w:eastAsia="zh-CN"/>
        </w:rPr>
        <w:t>3.4</w:t>
      </w:r>
      <w:r>
        <w:rPr>
          <w:lang w:val="en-US"/>
        </w:rPr>
        <w:t xml:space="preserve">米  </w:t>
      </w:r>
    </w:p>
    <w:p w14:paraId="4F919B3A">
      <w:pPr>
        <w:rPr>
          <w:lang w:val="en-US"/>
        </w:rPr>
      </w:pPr>
      <w:r>
        <w:rPr>
          <w:lang w:val="en-US"/>
        </w:rPr>
        <w:t xml:space="preserve">5. 建筑形体描述：  </w:t>
      </w:r>
    </w:p>
    <w:p w14:paraId="1AF804B5">
      <w:pPr>
        <w:rPr>
          <w:lang w:val="en-US"/>
        </w:rPr>
      </w:pPr>
      <w:r>
        <w:rPr>
          <w:lang w:val="en-US"/>
        </w:rPr>
        <w:t xml:space="preserve">    建筑由两部分组成：  </w:t>
      </w:r>
    </w:p>
    <w:p w14:paraId="78A4B9C7">
      <w:pPr>
        <w:rPr>
          <w:lang w:val="en-US"/>
        </w:rPr>
      </w:pPr>
      <w:r>
        <w:rPr>
          <w:lang w:val="en-US"/>
        </w:rPr>
        <w:t xml:space="preserve">      长方体部分： 长</w:t>
      </w:r>
      <w:r>
        <w:rPr>
          <w:rFonts w:hint="eastAsia"/>
          <w:lang w:val="en-US" w:eastAsia="zh-CN"/>
        </w:rPr>
        <w:t>6</w:t>
      </w:r>
      <w:r>
        <w:rPr>
          <w:lang w:val="en-US"/>
        </w:rPr>
        <w:t>0米，宽20米，高1</w:t>
      </w:r>
      <w:r>
        <w:rPr>
          <w:rFonts w:hint="eastAsia"/>
          <w:lang w:val="en-US" w:eastAsia="zh-CN"/>
        </w:rPr>
        <w:t>0</w:t>
      </w:r>
      <w:r>
        <w:rPr>
          <w:lang w:val="en-US"/>
        </w:rPr>
        <w:t xml:space="preserve">米  </w:t>
      </w:r>
    </w:p>
    <w:p w14:paraId="4F3C4FBE">
      <w:pPr>
        <w:rPr>
          <w:lang w:val="en-US"/>
        </w:rPr>
      </w:pPr>
      <w:r>
        <w:rPr>
          <w:lang w:val="en-US"/>
        </w:rPr>
        <w:t xml:space="preserve">      正方体部分： 边长</w:t>
      </w:r>
      <w:r>
        <w:rPr>
          <w:rFonts w:hint="eastAsia"/>
          <w:lang w:val="en-US" w:eastAsia="zh-CN"/>
        </w:rPr>
        <w:t>3</w:t>
      </w:r>
      <w:r>
        <w:rPr>
          <w:lang w:val="en-US"/>
        </w:rPr>
        <w:t xml:space="preserve">0米，高15米  </w:t>
      </w:r>
    </w:p>
    <w:p w14:paraId="477B2479">
      <w:pPr>
        <w:rPr>
          <w:lang w:val="en-US"/>
        </w:rPr>
      </w:pPr>
      <w:r>
        <w:rPr>
          <w:lang w:val="en-US"/>
        </w:rPr>
        <w:t xml:space="preserve">    两部分通过连廊连接，整体平面呈“L”形布局。  </w:t>
      </w:r>
    </w:p>
    <w:p w14:paraId="24D75AE0"/>
    <w:p w14:paraId="4C16106D"/>
    <w:p w14:paraId="687E5C8C">
      <w:pPr>
        <w:rPr>
          <w:lang w:val="en-US"/>
        </w:rPr>
      </w:pPr>
      <w:r>
        <w:rPr>
          <w:lang w:val="en-US"/>
        </w:rPr>
        <w:t xml:space="preserve"> 二、判定依据  </w:t>
      </w:r>
    </w:p>
    <w:p w14:paraId="129B52C7">
      <w:pPr>
        <w:rPr>
          <w:lang w:val="en-US"/>
        </w:rPr>
      </w:pPr>
      <w:r>
        <w:rPr>
          <w:lang w:val="en-US"/>
        </w:rPr>
        <w:t xml:space="preserve">1. 规范依据：  </w:t>
      </w:r>
    </w:p>
    <w:p w14:paraId="6D1524D2">
      <w:pPr>
        <w:rPr>
          <w:lang w:val="en-US"/>
        </w:rPr>
      </w:pPr>
      <w:r>
        <w:rPr>
          <w:lang w:val="en-US"/>
        </w:rPr>
        <w:t xml:space="preserve">    《绿色建筑评价标准》（GB/T 503782019）  </w:t>
      </w:r>
    </w:p>
    <w:p w14:paraId="4971975E">
      <w:pPr>
        <w:rPr>
          <w:lang w:val="en-US"/>
        </w:rPr>
      </w:pPr>
      <w:r>
        <w:rPr>
          <w:lang w:val="en-US"/>
        </w:rPr>
        <w:t xml:space="preserve">    《建筑抗震设计规范》（GB 500112010）  </w:t>
      </w:r>
    </w:p>
    <w:p w14:paraId="3A82277D">
      <w:pPr>
        <w:rPr>
          <w:lang w:val="en-US"/>
        </w:rPr>
      </w:pPr>
      <w:r>
        <w:rPr>
          <w:lang w:val="en-US"/>
        </w:rPr>
        <w:t xml:space="preserve">    《建筑设计防火规范》（GB 500162014）  </w:t>
      </w:r>
    </w:p>
    <w:p w14:paraId="0A3B58CD">
      <w:pPr>
        <w:rPr>
          <w:lang w:val="en-US"/>
        </w:rPr>
      </w:pPr>
      <w:r>
        <w:rPr>
          <w:lang w:val="en-US"/>
        </w:rPr>
        <w:t xml:space="preserve">2. 判定原则：  </w:t>
      </w:r>
    </w:p>
    <w:p w14:paraId="182D9A65">
      <w:pPr>
        <w:rPr>
          <w:lang w:val="en-US"/>
        </w:rPr>
      </w:pPr>
      <w:r>
        <w:rPr>
          <w:lang w:val="en-US"/>
        </w:rPr>
        <w:t xml:space="preserve">    建筑形体的规则性主要从平面规则性、立面规则性和结构规则性三个方面进行判定。  </w:t>
      </w:r>
    </w:p>
    <w:p w14:paraId="5A60BAEC">
      <w:pPr>
        <w:rPr>
          <w:lang w:val="en-US"/>
        </w:rPr>
      </w:pPr>
      <w:r>
        <w:rPr>
          <w:lang w:val="en-US"/>
        </w:rPr>
        <w:t xml:space="preserve">    规则性判定需考虑建筑的功能性、抗震性能、节能性能及空间利用率。  </w:t>
      </w:r>
    </w:p>
    <w:p w14:paraId="30A33040"/>
    <w:p w14:paraId="3DADD2A5"/>
    <w:p w14:paraId="34B581F7">
      <w:pPr>
        <w:rPr>
          <w:lang w:val="en-US"/>
        </w:rPr>
      </w:pPr>
      <w:r>
        <w:rPr>
          <w:lang w:val="en-US"/>
        </w:rPr>
        <w:t xml:space="preserve"> 三、形体规则性分析  </w:t>
      </w:r>
    </w:p>
    <w:p w14:paraId="56BEBFA8"/>
    <w:p w14:paraId="0233A220">
      <w:pPr>
        <w:rPr>
          <w:lang w:val="en-US"/>
        </w:rPr>
      </w:pPr>
      <w:r>
        <w:rPr>
          <w:lang w:val="en-US"/>
        </w:rPr>
        <w:t xml:space="preserve"> 1. 平面规则性  </w:t>
      </w:r>
    </w:p>
    <w:p w14:paraId="319434BD">
      <w:pPr>
        <w:rPr>
          <w:lang w:val="en-US"/>
        </w:rPr>
      </w:pPr>
      <w:r>
        <w:rPr>
          <w:lang w:val="en-US"/>
        </w:rPr>
        <w:t xml:space="preserve"> 判定内容： 建筑平面形状、对称性、凹凸变化等。  </w:t>
      </w:r>
    </w:p>
    <w:p w14:paraId="15C1BF62">
      <w:pPr>
        <w:rPr>
          <w:lang w:val="en-US"/>
        </w:rPr>
      </w:pPr>
      <w:r>
        <w:rPr>
          <w:lang w:val="en-US"/>
        </w:rPr>
        <w:t xml:space="preserve"> 分析：  </w:t>
      </w:r>
    </w:p>
    <w:p w14:paraId="38D44859">
      <w:pPr>
        <w:rPr>
          <w:lang w:val="en-US"/>
        </w:rPr>
      </w:pPr>
      <w:r>
        <w:rPr>
          <w:lang w:val="en-US"/>
        </w:rPr>
        <w:t xml:space="preserve">   建筑平面由长方体和正方体组成，整体呈“L”形布局。  </w:t>
      </w:r>
    </w:p>
    <w:p w14:paraId="4F5991B3">
      <w:pPr>
        <w:rPr>
          <w:lang w:val="en-US"/>
        </w:rPr>
      </w:pPr>
      <w:r>
        <w:rPr>
          <w:lang w:val="en-US"/>
        </w:rPr>
        <w:t xml:space="preserve">   长方体部分长宽比为2:1，正方体部分长宽比为1:1，两部分连接处无明显凹凸变化。  </w:t>
      </w:r>
    </w:p>
    <w:p w14:paraId="653E14CC">
      <w:pPr>
        <w:rPr>
          <w:lang w:val="en-US"/>
        </w:rPr>
      </w:pPr>
      <w:r>
        <w:rPr>
          <w:lang w:val="en-US"/>
        </w:rPr>
        <w:t xml:space="preserve">   平面布局对称性较好，功能分区明确，空间利用率高。  </w:t>
      </w:r>
    </w:p>
    <w:p w14:paraId="46CC560C">
      <w:pPr>
        <w:rPr>
          <w:lang w:val="en-US"/>
        </w:rPr>
      </w:pPr>
      <w:r>
        <w:rPr>
          <w:lang w:val="en-US"/>
        </w:rPr>
        <w:t xml:space="preserve"> 结论： 平面规则性符合绿色建筑要求。  </w:t>
      </w:r>
    </w:p>
    <w:p w14:paraId="11F53782"/>
    <w:p w14:paraId="1BDFF6F2">
      <w:pPr>
        <w:rPr>
          <w:lang w:val="en-US"/>
        </w:rPr>
      </w:pPr>
      <w:r>
        <w:rPr>
          <w:lang w:val="en-US"/>
        </w:rPr>
        <w:t xml:space="preserve"> 2. 立面规则性  </w:t>
      </w:r>
    </w:p>
    <w:p w14:paraId="4DA48125">
      <w:pPr>
        <w:rPr>
          <w:lang w:val="en-US"/>
        </w:rPr>
      </w:pPr>
      <w:r>
        <w:rPr>
          <w:lang w:val="en-US"/>
        </w:rPr>
        <w:t xml:space="preserve"> 判定内容： 建筑立面形状、开窗比例、材料一致性等。  </w:t>
      </w:r>
    </w:p>
    <w:p w14:paraId="7D2D27FA">
      <w:pPr>
        <w:rPr>
          <w:lang w:val="en-US"/>
        </w:rPr>
      </w:pPr>
      <w:r>
        <w:rPr>
          <w:lang w:val="en-US"/>
        </w:rPr>
        <w:t xml:space="preserve"> 分析：  </w:t>
      </w:r>
    </w:p>
    <w:p w14:paraId="366E9CC4">
      <w:pPr>
        <w:rPr>
          <w:lang w:val="en-US"/>
        </w:rPr>
      </w:pPr>
      <w:r>
        <w:rPr>
          <w:lang w:val="en-US"/>
        </w:rPr>
        <w:t xml:space="preserve">   建筑立面采用统一的材料和色彩，长方体部分与正方体部分风格协调。  </w:t>
      </w:r>
    </w:p>
    <w:p w14:paraId="061D91F9">
      <w:pPr>
        <w:rPr>
          <w:lang w:val="en-US"/>
        </w:rPr>
      </w:pPr>
      <w:r>
        <w:rPr>
          <w:lang w:val="en-US"/>
        </w:rPr>
        <w:t xml:space="preserve">   开窗比例适中，符合自然采光与通风要求，减少人工照明和空调能耗。  </w:t>
      </w:r>
    </w:p>
    <w:p w14:paraId="68021188">
      <w:pPr>
        <w:rPr>
          <w:lang w:val="en-US"/>
        </w:rPr>
      </w:pPr>
      <w:r>
        <w:rPr>
          <w:lang w:val="en-US"/>
        </w:rPr>
        <w:t xml:space="preserve">   立面无明显突变或复杂装饰，符合绿色建筑简约设计原则。  </w:t>
      </w:r>
    </w:p>
    <w:p w14:paraId="3BE01D76">
      <w:pPr>
        <w:rPr>
          <w:lang w:val="en-US"/>
        </w:rPr>
      </w:pPr>
      <w:r>
        <w:rPr>
          <w:lang w:val="en-US"/>
        </w:rPr>
        <w:t xml:space="preserve"> 结论： 立面规则性符合绿色建筑要求。  </w:t>
      </w:r>
    </w:p>
    <w:p w14:paraId="16AB3C02"/>
    <w:p w14:paraId="08FC5FEA">
      <w:pPr>
        <w:rPr>
          <w:lang w:val="en-US"/>
        </w:rPr>
      </w:pPr>
      <w:r>
        <w:rPr>
          <w:lang w:val="en-US"/>
        </w:rPr>
        <w:t xml:space="preserve"> 3. 结构规则性  </w:t>
      </w:r>
    </w:p>
    <w:p w14:paraId="7C8649DD">
      <w:pPr>
        <w:rPr>
          <w:lang w:val="en-US"/>
        </w:rPr>
      </w:pPr>
      <w:r>
        <w:rPr>
          <w:lang w:val="en-US"/>
        </w:rPr>
        <w:t xml:space="preserve"> 判定内容： 结构体系对称性、刚度分布、抗震性能等。  </w:t>
      </w:r>
    </w:p>
    <w:p w14:paraId="395358ED">
      <w:pPr>
        <w:rPr>
          <w:lang w:val="en-US"/>
        </w:rPr>
      </w:pPr>
      <w:r>
        <w:rPr>
          <w:lang w:val="en-US"/>
        </w:rPr>
        <w:t xml:space="preserve"> 分析：  </w:t>
      </w:r>
    </w:p>
    <w:p w14:paraId="190A98CE">
      <w:pPr>
        <w:rPr>
          <w:lang w:val="en-US"/>
        </w:rPr>
      </w:pPr>
      <w:r>
        <w:rPr>
          <w:lang w:val="en-US"/>
        </w:rPr>
        <w:t xml:space="preserve">   建筑采用框架结构，长方体部分与正方体部分结构体系一致，刚度分布均匀。  </w:t>
      </w:r>
    </w:p>
    <w:p w14:paraId="1F88387A">
      <w:pPr>
        <w:rPr>
          <w:lang w:val="en-US"/>
        </w:rPr>
      </w:pPr>
      <w:r>
        <w:rPr>
          <w:lang w:val="en-US"/>
        </w:rPr>
        <w:t xml:space="preserve">   连接部分设置抗震缝，避免因形体不规则导致的应力集中。  </w:t>
      </w:r>
    </w:p>
    <w:p w14:paraId="36B4D229">
      <w:pPr>
        <w:rPr>
          <w:lang w:val="en-US"/>
        </w:rPr>
      </w:pPr>
      <w:r>
        <w:rPr>
          <w:lang w:val="en-US"/>
        </w:rPr>
        <w:t xml:space="preserve">   结构设计符合《建筑抗震设计规范》要求，抗震性能良好。  </w:t>
      </w:r>
    </w:p>
    <w:p w14:paraId="68293165">
      <w:pPr>
        <w:rPr>
          <w:lang w:val="en-US"/>
        </w:rPr>
      </w:pPr>
      <w:r>
        <w:rPr>
          <w:lang w:val="en-US"/>
        </w:rPr>
        <w:t xml:space="preserve"> 结论： 结构规则性符合绿色建筑要求。  </w:t>
      </w:r>
    </w:p>
    <w:p w14:paraId="00A3CA3C">
      <w:pPr>
        <w:rPr>
          <w:lang w:val="en-US"/>
        </w:rPr>
      </w:pPr>
    </w:p>
    <w:p w14:paraId="70E87347"/>
    <w:p w14:paraId="2E54CF18">
      <w:pPr>
        <w:rPr>
          <w:lang w:val="en-US"/>
        </w:rPr>
      </w:pPr>
      <w:r>
        <w:rPr>
          <w:lang w:val="en-US"/>
        </w:rPr>
        <w:t xml:space="preserve"> 四、绿色建筑性能分析  </w:t>
      </w:r>
    </w:p>
    <w:p w14:paraId="313EF1DD"/>
    <w:p w14:paraId="0CA2E070">
      <w:pPr>
        <w:rPr>
          <w:lang w:val="en-US"/>
        </w:rPr>
      </w:pPr>
      <w:r>
        <w:rPr>
          <w:lang w:val="en-US"/>
        </w:rPr>
        <w:t xml:space="preserve"> 1. 节能性能  </w:t>
      </w:r>
    </w:p>
    <w:p w14:paraId="3768ED63">
      <w:pPr>
        <w:rPr>
          <w:lang w:val="en-US"/>
        </w:rPr>
      </w:pPr>
      <w:r>
        <w:rPr>
          <w:lang w:val="en-US"/>
        </w:rPr>
        <w:t xml:space="preserve"> 建筑形体规则，减少外表面积，降低热损失。  </w:t>
      </w:r>
    </w:p>
    <w:p w14:paraId="0FD2DAA2">
      <w:pPr>
        <w:rPr>
          <w:lang w:val="en-US"/>
        </w:rPr>
      </w:pPr>
      <w:r>
        <w:rPr>
          <w:lang w:val="en-US"/>
        </w:rPr>
        <w:t xml:space="preserve"> 开窗比例合理，充分利用自然采光与通风，减少能源消耗。  </w:t>
      </w:r>
    </w:p>
    <w:p w14:paraId="2D4D6F3A"/>
    <w:p w14:paraId="54A8BB57">
      <w:pPr>
        <w:rPr>
          <w:lang w:val="en-US"/>
        </w:rPr>
      </w:pPr>
      <w:r>
        <w:rPr>
          <w:lang w:val="en-US"/>
        </w:rPr>
        <w:t xml:space="preserve"> 2. 空间利用率  </w:t>
      </w:r>
    </w:p>
    <w:p w14:paraId="3B7F1333">
      <w:pPr>
        <w:rPr>
          <w:lang w:val="en-US"/>
        </w:rPr>
      </w:pPr>
      <w:r>
        <w:rPr>
          <w:lang w:val="en-US"/>
        </w:rPr>
        <w:t xml:space="preserve"> 规则形体设计提高空间利用率，减少无效空间，符合绿色建筑高效利用资源的原则。  </w:t>
      </w:r>
    </w:p>
    <w:p w14:paraId="488A8394"/>
    <w:p w14:paraId="55351AA4">
      <w:pPr>
        <w:rPr>
          <w:lang w:val="en-US"/>
        </w:rPr>
      </w:pPr>
      <w:r>
        <w:rPr>
          <w:lang w:val="en-US"/>
        </w:rPr>
        <w:t xml:space="preserve"> 3. 抗震性能  </w:t>
      </w:r>
    </w:p>
    <w:p w14:paraId="76DA20DF">
      <w:pPr>
        <w:rPr>
          <w:lang w:val="en-US"/>
        </w:rPr>
      </w:pPr>
      <w:r>
        <w:rPr>
          <w:lang w:val="en-US"/>
        </w:rPr>
        <w:t xml:space="preserve"> 规则形体设计有利于结构受力均匀，提高建筑抗震性能。  </w:t>
      </w:r>
    </w:p>
    <w:p w14:paraId="0668EC08">
      <w:pPr>
        <w:rPr>
          <w:lang w:val="en-US"/>
        </w:rPr>
      </w:pPr>
    </w:p>
    <w:p w14:paraId="31B99138"/>
    <w:p w14:paraId="1E050E16">
      <w:pPr>
        <w:rPr>
          <w:lang w:val="en-US"/>
        </w:rPr>
      </w:pPr>
      <w:r>
        <w:rPr>
          <w:lang w:val="en-US"/>
        </w:rPr>
        <w:t xml:space="preserve"> 五、结论与建议  </w:t>
      </w:r>
    </w:p>
    <w:p w14:paraId="16E35FA3"/>
    <w:p w14:paraId="5ECB7446">
      <w:pPr>
        <w:rPr>
          <w:lang w:val="en-US"/>
        </w:rPr>
      </w:pPr>
      <w:r>
        <w:rPr>
          <w:lang w:val="en-US"/>
        </w:rPr>
        <w:t xml:space="preserve"> 1. 结论  </w:t>
      </w:r>
    </w:p>
    <w:p w14:paraId="282EB463">
      <w:pPr>
        <w:rPr>
          <w:lang w:val="en-US"/>
        </w:rPr>
      </w:pPr>
      <w:r>
        <w:rPr>
          <w:lang w:val="en-US"/>
        </w:rPr>
        <w:t xml:space="preserve"> 该建筑形体由长方体和正方体组成，平面、立面和结构规则性均符合绿色建筑要求。  </w:t>
      </w:r>
    </w:p>
    <w:p w14:paraId="272BCC3F">
      <w:pPr>
        <w:rPr>
          <w:lang w:val="en-US"/>
        </w:rPr>
      </w:pPr>
      <w:r>
        <w:rPr>
          <w:lang w:val="en-US"/>
        </w:rPr>
        <w:t xml:space="preserve"> 建筑形体设计合理，具有良好的节能性能、空间利用率和抗震性能。  </w:t>
      </w:r>
    </w:p>
    <w:p w14:paraId="1A86F9A8"/>
    <w:p w14:paraId="03068FF1">
      <w:pPr>
        <w:rPr>
          <w:lang w:val="en-US"/>
        </w:rPr>
      </w:pPr>
      <w:r>
        <w:rPr>
          <w:lang w:val="en-US"/>
        </w:rPr>
        <w:t xml:space="preserve"> 2. 建议  </w:t>
      </w:r>
    </w:p>
    <w:p w14:paraId="06DCC6F0">
      <w:pPr>
        <w:rPr>
          <w:lang w:val="en-US"/>
        </w:rPr>
      </w:pPr>
      <w:r>
        <w:rPr>
          <w:lang w:val="en-US"/>
        </w:rPr>
        <w:t xml:space="preserve"> 在施工过程中，应严格控制连接部分的施工质量，确保结构整体性。  </w:t>
      </w:r>
      <w:bookmarkStart w:id="0" w:name="_GoBack"/>
      <w:bookmarkEnd w:id="0"/>
    </w:p>
    <w:p w14:paraId="65FE4A7E">
      <w:pPr>
        <w:rPr>
          <w:lang w:val="en-US"/>
        </w:rPr>
      </w:pPr>
      <w:r>
        <w:rPr>
          <w:lang w:val="en-US"/>
        </w:rPr>
        <w:t xml:space="preserve"> 建议进一步优化开窗设计，提高自然通风效率，降低空调能耗。  </w:t>
      </w:r>
    </w:p>
    <w:p w14:paraId="74093AAD"/>
    <w:p w14:paraId="2564B1DC"/>
    <w:p w14:paraId="44B745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0F5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1045</Words>
  <Characters>1126</Characters>
  <Paragraphs>96</Paragraphs>
  <TotalTime>4</TotalTime>
  <ScaleCrop>false</ScaleCrop>
  <LinksUpToDate>false</LinksUpToDate>
  <CharactersWithSpaces>1396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2025-03-14T07:29:00Z</dcterms:created>
  <dc:creator>V2183A</dc:creator>
  <cp:lastModifiedBy>.</cp:lastModifiedBy>
  <dcterms:modified xsi:type="dcterms:W3CDTF">2025-03-14T09:39:46Z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549DC71883824CA0A2A7864C95FE1637_13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KSOProductBuildVer">
    <vt:lpwstr>2052-12.1.0.20305</vt:lpwstr>
  </property>
</Properties>
</file>