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909C1">
      <w:pPr>
        <w:ind w:firstLine="3654" w:firstLineChars="1300"/>
        <w:jc w:val="both"/>
        <w:rPr>
          <w:b/>
          <w:bCs/>
          <w:sz w:val="28"/>
          <w:szCs w:val="32"/>
        </w:rPr>
      </w:pPr>
      <w:bookmarkStart w:id="0" w:name="_GoBack"/>
      <w:bookmarkEnd w:id="0"/>
      <w:r>
        <w:rPr>
          <w:b/>
          <w:bCs/>
          <w:sz w:val="28"/>
          <w:szCs w:val="32"/>
        </w:rPr>
        <w:t>照明现场检测报告</w:t>
      </w:r>
    </w:p>
    <w:p w14:paraId="086CC612"/>
    <w:p w14:paraId="6067EA2E">
      <w:r>
        <w:t xml:space="preserve"> 1. 检测目的</w:t>
      </w:r>
    </w:p>
    <w:p w14:paraId="7B2AEC00">
      <w:r>
        <w:t>本次检测旨在评估项目现场的照明系统是否符合绿色建筑标准，确保照明系统的能效、舒适性和环境友好性达到设计要求，并为后续优化提供数据支持。</w:t>
      </w:r>
    </w:p>
    <w:p w14:paraId="6167BFB4"/>
    <w:p w14:paraId="07D01802">
      <w:r>
        <w:t xml:space="preserve"> 2. 检测依据</w:t>
      </w:r>
    </w:p>
    <w:p w14:paraId="4457B9F3">
      <w:r>
        <w:t xml:space="preserve"> 《绿色建筑评价标准》（GB/T 503782019）</w:t>
      </w:r>
    </w:p>
    <w:p w14:paraId="625210B2">
      <w:r>
        <w:t xml:space="preserve"> 《建筑照明设计标准》（GB 500342013）</w:t>
      </w:r>
    </w:p>
    <w:p w14:paraId="17DF1E53">
      <w:r>
        <w:t xml:space="preserve"> 《建筑节能设计标准》（GB 501892015）</w:t>
      </w:r>
    </w:p>
    <w:p w14:paraId="56A22EAD">
      <w:r>
        <w:t xml:space="preserve"> 项目设计文件及相关技术规范</w:t>
      </w:r>
    </w:p>
    <w:p w14:paraId="0BA2E785"/>
    <w:p w14:paraId="4493DDE6">
      <w:r>
        <w:t xml:space="preserve"> 3. 检测设备</w:t>
      </w:r>
    </w:p>
    <w:p w14:paraId="1DE245D7">
      <w:r>
        <w:t xml:space="preserve"> 照度计：用于测量工作面的照度值</w:t>
      </w:r>
    </w:p>
    <w:p w14:paraId="15B84801">
      <w:r>
        <w:t xml:space="preserve"> 功率计：用于测量照明设备的功率</w:t>
      </w:r>
    </w:p>
    <w:p w14:paraId="57CBC129">
      <w:r>
        <w:t xml:space="preserve"> 色温计：用于测量光源的色温</w:t>
      </w:r>
    </w:p>
    <w:p w14:paraId="127A04FF">
      <w:r>
        <w:t xml:space="preserve"> 频闪检测仪：用于检测光源的频闪情况</w:t>
      </w:r>
    </w:p>
    <w:p w14:paraId="383CCB89">
      <w:r>
        <w:t xml:space="preserve"> 数据记录仪：用于记录检测数据</w:t>
      </w:r>
    </w:p>
    <w:p w14:paraId="2740EF06"/>
    <w:p w14:paraId="1BE8A0C0">
      <w:r>
        <w:t xml:space="preserve"> 4. 检测内容及方法</w:t>
      </w:r>
    </w:p>
    <w:p w14:paraId="18B13633"/>
    <w:p w14:paraId="3E428CEC">
      <w:r>
        <w:t xml:space="preserve"> 4.1 照度检测</w:t>
      </w:r>
    </w:p>
    <w:p w14:paraId="25D78340">
      <w:r>
        <w:t xml:space="preserve"> 检测方法：根据《建筑照明设计标准》（GB 500342013），在工作面（通常为地面以上0.75m高度）布置测点，使用照度计测量各测点的照度值。</w:t>
      </w:r>
    </w:p>
    <w:p w14:paraId="0AF9FB8D">
      <w:r>
        <w:t xml:space="preserve"> 检测区域：</w:t>
      </w:r>
      <w:r>
        <w:rPr>
          <w:rFonts w:hint="eastAsia"/>
          <w:lang w:val="en-US" w:eastAsia="zh-CN"/>
        </w:rPr>
        <w:t>餐厅</w:t>
      </w:r>
      <w:r>
        <w:t>、走廊、</w:t>
      </w:r>
      <w:r>
        <w:rPr>
          <w:rFonts w:hint="eastAsia"/>
          <w:lang w:val="en-US" w:eastAsia="zh-CN"/>
        </w:rPr>
        <w:t>后厨区</w:t>
      </w:r>
      <w:r>
        <w:t>、楼梯间等主要功能区域。</w:t>
      </w:r>
    </w:p>
    <w:p w14:paraId="197B6203">
      <w:r>
        <w:t xml:space="preserve"> 标准要求：不同功能区域的照度要求如下：</w:t>
      </w:r>
    </w:p>
    <w:p w14:paraId="3A73854F">
      <w:r>
        <w:t xml:space="preserve">   </w:t>
      </w:r>
      <w:r>
        <w:rPr>
          <w:rFonts w:hint="eastAsia"/>
          <w:lang w:eastAsia="zh-CN"/>
        </w:rPr>
        <w:t>餐厅</w:t>
      </w:r>
      <w:r>
        <w:t>：300500 lx</w:t>
      </w:r>
    </w:p>
    <w:p w14:paraId="4E13A2D8">
      <w:r>
        <w:t xml:space="preserve">   走廊：100200 lx</w:t>
      </w:r>
    </w:p>
    <w:p w14:paraId="1D7E73C3">
      <w:r>
        <w:t xml:space="preserve">   </w:t>
      </w:r>
      <w:r>
        <w:rPr>
          <w:rFonts w:hint="eastAsia"/>
          <w:lang w:eastAsia="zh-CN"/>
        </w:rPr>
        <w:t>后厨</w:t>
      </w:r>
      <w:r>
        <w:t>：300500 lx</w:t>
      </w:r>
    </w:p>
    <w:p w14:paraId="36DB4322">
      <w:r>
        <w:t xml:space="preserve">   楼梯间：75150 lx</w:t>
      </w:r>
    </w:p>
    <w:p w14:paraId="0E24EB7E"/>
    <w:p w14:paraId="30F5874A">
      <w:r>
        <w:t xml:space="preserve"> 4.2 功率密度检测</w:t>
      </w:r>
    </w:p>
    <w:p w14:paraId="34C9F327">
      <w:r>
        <w:t xml:space="preserve"> 检测方法：使用功率计测量照明系统的总功率，结合房间面积计算照明功率密度（LPD）。</w:t>
      </w:r>
    </w:p>
    <w:p w14:paraId="7265A0D9">
      <w:r>
        <w:t xml:space="preserve"> 标准要求：根据《建筑节能设计标准》（GB 501892015），办公建筑的照明功率密度限值为：</w:t>
      </w:r>
    </w:p>
    <w:p w14:paraId="2BD776F3">
      <w:r>
        <w:t xml:space="preserve">   普通</w:t>
      </w:r>
      <w:r>
        <w:rPr>
          <w:rFonts w:hint="eastAsia"/>
          <w:lang w:eastAsia="zh-CN"/>
        </w:rPr>
        <w:t>餐饮区</w:t>
      </w:r>
      <w:r>
        <w:t>：≤9 W/m²</w:t>
      </w:r>
    </w:p>
    <w:p w14:paraId="3FA232F2">
      <w:r>
        <w:t xml:space="preserve">   </w:t>
      </w:r>
      <w:r>
        <w:rPr>
          <w:rFonts w:hint="eastAsia"/>
          <w:lang w:eastAsia="zh-CN"/>
        </w:rPr>
        <w:t>后厨区</w:t>
      </w:r>
      <w:r>
        <w:t>：≤11 W/m²</w:t>
      </w:r>
    </w:p>
    <w:p w14:paraId="3F4DF89A">
      <w:r>
        <w:t xml:space="preserve">   走廊：≤4 W/m²</w:t>
      </w:r>
    </w:p>
    <w:p w14:paraId="1E65F9F9"/>
    <w:p w14:paraId="2F235F28">
      <w:r>
        <w:t xml:space="preserve"> 4.3 色温与显色性检测</w:t>
      </w:r>
    </w:p>
    <w:p w14:paraId="715477EC">
      <w:r>
        <w:t xml:space="preserve"> 检测方法：使用色温计测量光源的色温（K）和显色指数（Ra）。</w:t>
      </w:r>
    </w:p>
    <w:p w14:paraId="62A75886">
      <w:r>
        <w:t xml:space="preserve"> 标准要求：</w:t>
      </w:r>
    </w:p>
    <w:p w14:paraId="4F98E5BA">
      <w:r>
        <w:t xml:space="preserve">   色温：办公室推荐4000K5000K，会议室推荐3000K4000K。</w:t>
      </w:r>
    </w:p>
    <w:p w14:paraId="026B5869">
      <w:r>
        <w:t xml:space="preserve">   显色指数：Ra≥80。</w:t>
      </w:r>
    </w:p>
    <w:p w14:paraId="3803ADB1"/>
    <w:p w14:paraId="1809A27E">
      <w:r>
        <w:t xml:space="preserve"> 4.4 频闪检测</w:t>
      </w:r>
    </w:p>
    <w:p w14:paraId="5D1ADDB0">
      <w:r>
        <w:t xml:space="preserve"> 检测方法：使用频闪检测仪检测光源的频闪情况。</w:t>
      </w:r>
    </w:p>
    <w:p w14:paraId="4E2C75A1">
      <w:r>
        <w:t xml:space="preserve"> 标准要求：频闪频率应高于人眼感知范围（通常&gt;3125Hz），避免对人眼造成不适。</w:t>
      </w:r>
    </w:p>
    <w:p w14:paraId="4FA5EBC3"/>
    <w:p w14:paraId="0C183A87">
      <w:r>
        <w:t xml:space="preserve"> 4.5 自然光利用检测</w:t>
      </w:r>
    </w:p>
    <w:p w14:paraId="38E458FB">
      <w:r>
        <w:t xml:space="preserve"> 检测方法：在白天自然光条件下，测量室内照度，评估自然光的利用情况。</w:t>
      </w:r>
    </w:p>
    <w:p w14:paraId="2EB51A81">
      <w:r>
        <w:t xml:space="preserve"> 标准要求：自然光利用率应达到设计要求的比例，减少人工照明的使用时间。</w:t>
      </w:r>
    </w:p>
    <w:p w14:paraId="69C7F78E">
      <w:r>
        <w:t>5. 检测结果</w:t>
      </w:r>
    </w:p>
    <w:p w14:paraId="4510BA17"/>
    <w:p w14:paraId="34215FBA">
      <w:r>
        <w:t xml:space="preserve"> 5.1 照度检测结果</w:t>
      </w:r>
    </w:p>
    <w:tbl>
      <w:tblPr>
        <w:tblStyle w:val="3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481"/>
        <w:gridCol w:w="1322"/>
      </w:tblGrid>
      <w:tr w14:paraId="62B63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7" w:type="dxa"/>
          </w:tcPr>
          <w:p w14:paraId="55DA45A8">
            <w:pPr>
              <w:rPr>
                <w:vertAlign w:val="baseline"/>
              </w:rPr>
            </w:pPr>
            <w:r>
              <w:t>区域</w:t>
            </w:r>
          </w:p>
        </w:tc>
        <w:tc>
          <w:tcPr>
            <w:tcW w:w="1217" w:type="dxa"/>
          </w:tcPr>
          <w:p w14:paraId="260A489E">
            <w:pPr>
              <w:rPr>
                <w:vertAlign w:val="baseline"/>
              </w:rPr>
            </w:pPr>
            <w:r>
              <w:t>测点1 (lx)</w:t>
            </w:r>
          </w:p>
        </w:tc>
        <w:tc>
          <w:tcPr>
            <w:tcW w:w="1217" w:type="dxa"/>
          </w:tcPr>
          <w:p w14:paraId="6CF70783">
            <w:pPr>
              <w:rPr>
                <w:vertAlign w:val="baseline"/>
              </w:rPr>
            </w:pPr>
            <w:r>
              <w:t>测点2 (lx)</w:t>
            </w:r>
          </w:p>
        </w:tc>
        <w:tc>
          <w:tcPr>
            <w:tcW w:w="1217" w:type="dxa"/>
          </w:tcPr>
          <w:p w14:paraId="70048F0E">
            <w:pPr>
              <w:rPr>
                <w:vertAlign w:val="baseline"/>
              </w:rPr>
            </w:pPr>
            <w:r>
              <w:t>测点3 (lx)</w:t>
            </w:r>
          </w:p>
        </w:tc>
        <w:tc>
          <w:tcPr>
            <w:tcW w:w="1218" w:type="dxa"/>
          </w:tcPr>
          <w:p w14:paraId="28FD13FD">
            <w:pPr>
              <w:rPr>
                <w:vertAlign w:val="baseline"/>
              </w:rPr>
            </w:pPr>
            <w:r>
              <w:t>平均值 (lx)</w:t>
            </w:r>
          </w:p>
        </w:tc>
        <w:tc>
          <w:tcPr>
            <w:tcW w:w="1481" w:type="dxa"/>
          </w:tcPr>
          <w:p w14:paraId="2E0C1934">
            <w:pPr>
              <w:rPr>
                <w:vertAlign w:val="baseline"/>
              </w:rPr>
            </w:pPr>
            <w:r>
              <w:t>标准要求 (lx)</w:t>
            </w:r>
          </w:p>
        </w:tc>
        <w:tc>
          <w:tcPr>
            <w:tcW w:w="1322" w:type="dxa"/>
          </w:tcPr>
          <w:p w14:paraId="71625766">
            <w:pPr>
              <w:rPr>
                <w:vertAlign w:val="baseline"/>
              </w:rPr>
            </w:pPr>
            <w:r>
              <w:t>是否达标</w:t>
            </w:r>
          </w:p>
        </w:tc>
      </w:tr>
      <w:tr w14:paraId="5932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</w:tcPr>
          <w:p w14:paraId="36019F95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餐厅</w:t>
            </w:r>
          </w:p>
        </w:tc>
        <w:tc>
          <w:tcPr>
            <w:tcW w:w="1217" w:type="dxa"/>
          </w:tcPr>
          <w:p w14:paraId="781062D6">
            <w:pPr>
              <w:rPr>
                <w:vertAlign w:val="baseline"/>
              </w:rPr>
            </w:pPr>
            <w:r>
              <w:t xml:space="preserve">320 </w:t>
            </w:r>
          </w:p>
        </w:tc>
        <w:tc>
          <w:tcPr>
            <w:tcW w:w="1217" w:type="dxa"/>
          </w:tcPr>
          <w:p w14:paraId="48BD5979">
            <w:pPr>
              <w:rPr>
                <w:vertAlign w:val="baseline"/>
              </w:rPr>
            </w:pPr>
            <w:r>
              <w:t xml:space="preserve"> 310</w:t>
            </w:r>
          </w:p>
        </w:tc>
        <w:tc>
          <w:tcPr>
            <w:tcW w:w="1217" w:type="dxa"/>
          </w:tcPr>
          <w:p w14:paraId="5E0459A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330</w:t>
            </w:r>
          </w:p>
        </w:tc>
        <w:tc>
          <w:tcPr>
            <w:tcW w:w="1218" w:type="dxa"/>
          </w:tcPr>
          <w:p w14:paraId="45634A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320</w:t>
            </w:r>
          </w:p>
        </w:tc>
        <w:tc>
          <w:tcPr>
            <w:tcW w:w="1481" w:type="dxa"/>
          </w:tcPr>
          <w:p w14:paraId="789C9341">
            <w:pPr>
              <w:rPr>
                <w:vertAlign w:val="baseline"/>
              </w:rPr>
            </w:pPr>
            <w:r>
              <w:t>300500</w:t>
            </w:r>
          </w:p>
        </w:tc>
        <w:tc>
          <w:tcPr>
            <w:tcW w:w="1322" w:type="dxa"/>
          </w:tcPr>
          <w:p w14:paraId="7BA53613">
            <w:pPr>
              <w:rPr>
                <w:vertAlign w:val="baseline"/>
              </w:rPr>
            </w:pPr>
            <w:r>
              <w:t>是</w:t>
            </w:r>
          </w:p>
        </w:tc>
      </w:tr>
      <w:tr w14:paraId="5EA2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</w:tcPr>
          <w:p w14:paraId="68AE8722">
            <w:pPr>
              <w:rPr>
                <w:vertAlign w:val="baseline"/>
              </w:rPr>
            </w:pPr>
            <w:r>
              <w:t>走廊</w:t>
            </w:r>
          </w:p>
        </w:tc>
        <w:tc>
          <w:tcPr>
            <w:tcW w:w="1217" w:type="dxa"/>
          </w:tcPr>
          <w:p w14:paraId="64C6E00D">
            <w:pPr>
              <w:rPr>
                <w:vertAlign w:val="baseline"/>
              </w:rPr>
            </w:pPr>
            <w:r>
              <w:t>120</w:t>
            </w:r>
          </w:p>
        </w:tc>
        <w:tc>
          <w:tcPr>
            <w:tcW w:w="1217" w:type="dxa"/>
          </w:tcPr>
          <w:p w14:paraId="3DA1AC75">
            <w:pPr>
              <w:rPr>
                <w:vertAlign w:val="baseline"/>
              </w:rPr>
            </w:pPr>
            <w:r>
              <w:t xml:space="preserve"> 110 </w:t>
            </w:r>
          </w:p>
        </w:tc>
        <w:tc>
          <w:tcPr>
            <w:tcW w:w="1217" w:type="dxa"/>
          </w:tcPr>
          <w:p w14:paraId="5F15C762">
            <w:pPr>
              <w:rPr>
                <w:vertAlign w:val="baseline"/>
              </w:rPr>
            </w:pPr>
            <w:r>
              <w:t>130</w:t>
            </w:r>
          </w:p>
        </w:tc>
        <w:tc>
          <w:tcPr>
            <w:tcW w:w="1218" w:type="dxa"/>
          </w:tcPr>
          <w:p w14:paraId="7C58ED10">
            <w:pPr>
              <w:rPr>
                <w:vertAlign w:val="baseline"/>
              </w:rPr>
            </w:pPr>
            <w:r>
              <w:t xml:space="preserve">120  </w:t>
            </w:r>
          </w:p>
        </w:tc>
        <w:tc>
          <w:tcPr>
            <w:tcW w:w="1481" w:type="dxa"/>
          </w:tcPr>
          <w:p w14:paraId="6D0EE358">
            <w:pPr>
              <w:rPr>
                <w:vertAlign w:val="baseline"/>
              </w:rPr>
            </w:pPr>
            <w:r>
              <w:t xml:space="preserve"> 100200 </w:t>
            </w:r>
          </w:p>
        </w:tc>
        <w:tc>
          <w:tcPr>
            <w:tcW w:w="1322" w:type="dxa"/>
          </w:tcPr>
          <w:p w14:paraId="2CB08FA1">
            <w:pPr>
              <w:rPr>
                <w:vertAlign w:val="baseline"/>
              </w:rPr>
            </w:pPr>
            <w:r>
              <w:t xml:space="preserve">是  </w:t>
            </w:r>
          </w:p>
        </w:tc>
      </w:tr>
      <w:tr w14:paraId="45F2D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7" w:type="dxa"/>
          </w:tcPr>
          <w:p w14:paraId="7F8499FD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后厨区</w:t>
            </w:r>
          </w:p>
        </w:tc>
        <w:tc>
          <w:tcPr>
            <w:tcW w:w="1217" w:type="dxa"/>
          </w:tcPr>
          <w:p w14:paraId="53B038E9">
            <w:pPr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t xml:space="preserve">80    </w:t>
            </w:r>
          </w:p>
        </w:tc>
        <w:tc>
          <w:tcPr>
            <w:tcW w:w="1217" w:type="dxa"/>
          </w:tcPr>
          <w:p w14:paraId="3230A392">
            <w:pPr>
              <w:rPr>
                <w:vertAlign w:val="baseline"/>
              </w:rPr>
            </w:pPr>
            <w:r>
              <w:t xml:space="preserve"> 290 </w:t>
            </w:r>
          </w:p>
        </w:tc>
        <w:tc>
          <w:tcPr>
            <w:tcW w:w="1217" w:type="dxa"/>
          </w:tcPr>
          <w:p w14:paraId="5EFAB057">
            <w:pPr>
              <w:rPr>
                <w:vertAlign w:val="baseline"/>
              </w:rPr>
            </w:pPr>
            <w:r>
              <w:t xml:space="preserve">| 300 </w:t>
            </w:r>
          </w:p>
        </w:tc>
        <w:tc>
          <w:tcPr>
            <w:tcW w:w="1218" w:type="dxa"/>
          </w:tcPr>
          <w:p w14:paraId="6A071207">
            <w:pPr>
              <w:rPr>
                <w:vertAlign w:val="baseline"/>
              </w:rPr>
            </w:pPr>
            <w:r>
              <w:t xml:space="preserve">290 </w:t>
            </w:r>
          </w:p>
        </w:tc>
        <w:tc>
          <w:tcPr>
            <w:tcW w:w="1481" w:type="dxa"/>
          </w:tcPr>
          <w:p w14:paraId="50100E4E">
            <w:pPr>
              <w:rPr>
                <w:vertAlign w:val="baseline"/>
              </w:rPr>
            </w:pPr>
            <w:r>
              <w:t xml:space="preserve">300500 </w:t>
            </w:r>
          </w:p>
        </w:tc>
        <w:tc>
          <w:tcPr>
            <w:tcW w:w="1322" w:type="dxa"/>
          </w:tcPr>
          <w:p w14:paraId="69DECABF">
            <w:pPr>
              <w:rPr>
                <w:vertAlign w:val="baseline"/>
              </w:rPr>
            </w:pPr>
            <w:r>
              <w:t>部分达标</w:t>
            </w:r>
          </w:p>
        </w:tc>
      </w:tr>
    </w:tbl>
    <w:p w14:paraId="1C0B712B"/>
    <w:p w14:paraId="5A9749D1">
      <w:r>
        <w:t xml:space="preserve"> 5.</w:t>
      </w:r>
      <w:r>
        <w:rPr>
          <w:rFonts w:hint="eastAsia"/>
          <w:lang w:val="en-US" w:eastAsia="zh-CN"/>
        </w:rPr>
        <w:t>2</w:t>
      </w:r>
      <w:r>
        <w:t xml:space="preserve"> 色温与显色性检测结果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4BA81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207AAD76">
            <w:pPr>
              <w:rPr>
                <w:vertAlign w:val="baseline"/>
              </w:rPr>
            </w:pPr>
            <w:r>
              <w:t xml:space="preserve">区域 </w:t>
            </w:r>
          </w:p>
        </w:tc>
        <w:tc>
          <w:tcPr>
            <w:tcW w:w="1704" w:type="dxa"/>
          </w:tcPr>
          <w:p w14:paraId="7C2DA110">
            <w:pPr>
              <w:rPr>
                <w:vertAlign w:val="baseline"/>
              </w:rPr>
            </w:pPr>
            <w:r>
              <w:t xml:space="preserve">色温 (K) </w:t>
            </w:r>
          </w:p>
        </w:tc>
        <w:tc>
          <w:tcPr>
            <w:tcW w:w="1704" w:type="dxa"/>
          </w:tcPr>
          <w:p w14:paraId="0ADF9063">
            <w:pPr>
              <w:rPr>
                <w:vertAlign w:val="baseline"/>
              </w:rPr>
            </w:pPr>
            <w:r>
              <w:t>显色指数 (Ra)</w:t>
            </w:r>
          </w:p>
        </w:tc>
        <w:tc>
          <w:tcPr>
            <w:tcW w:w="1705" w:type="dxa"/>
          </w:tcPr>
          <w:p w14:paraId="269CE42A">
            <w:pPr>
              <w:rPr>
                <w:vertAlign w:val="baseline"/>
              </w:rPr>
            </w:pPr>
            <w:r>
              <w:t>标准要求 (Ra≥80)</w:t>
            </w:r>
          </w:p>
        </w:tc>
        <w:tc>
          <w:tcPr>
            <w:tcW w:w="1705" w:type="dxa"/>
          </w:tcPr>
          <w:p w14:paraId="24121F02">
            <w:pPr>
              <w:rPr>
                <w:vertAlign w:val="baseline"/>
              </w:rPr>
            </w:pPr>
            <w:r>
              <w:t>是否达标</w:t>
            </w:r>
          </w:p>
        </w:tc>
      </w:tr>
      <w:tr w14:paraId="7134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1EF2891C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餐厅</w:t>
            </w:r>
          </w:p>
        </w:tc>
        <w:tc>
          <w:tcPr>
            <w:tcW w:w="1704" w:type="dxa"/>
          </w:tcPr>
          <w:p w14:paraId="3A89270E">
            <w:pPr>
              <w:rPr>
                <w:vertAlign w:val="baseline"/>
              </w:rPr>
            </w:pPr>
            <w:r>
              <w:t xml:space="preserve">4500 </w:t>
            </w:r>
          </w:p>
        </w:tc>
        <w:tc>
          <w:tcPr>
            <w:tcW w:w="1704" w:type="dxa"/>
          </w:tcPr>
          <w:p w14:paraId="34668C84">
            <w:pPr>
              <w:rPr>
                <w:vertAlign w:val="baseline"/>
              </w:rPr>
            </w:pPr>
            <w:r>
              <w:t>85</w:t>
            </w:r>
          </w:p>
        </w:tc>
        <w:tc>
          <w:tcPr>
            <w:tcW w:w="1705" w:type="dxa"/>
          </w:tcPr>
          <w:p w14:paraId="49205F17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  <w:tc>
          <w:tcPr>
            <w:tcW w:w="1705" w:type="dxa"/>
          </w:tcPr>
          <w:p w14:paraId="0BAF843B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46CAE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0882CB2B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后厨区</w:t>
            </w:r>
          </w:p>
        </w:tc>
        <w:tc>
          <w:tcPr>
            <w:tcW w:w="1704" w:type="dxa"/>
          </w:tcPr>
          <w:p w14:paraId="5BC4D2F4">
            <w:pPr>
              <w:rPr>
                <w:vertAlign w:val="baseline"/>
              </w:rPr>
            </w:pPr>
            <w:r>
              <w:t>3500</w:t>
            </w:r>
          </w:p>
        </w:tc>
        <w:tc>
          <w:tcPr>
            <w:tcW w:w="1704" w:type="dxa"/>
          </w:tcPr>
          <w:p w14:paraId="55E343FE">
            <w:pPr>
              <w:rPr>
                <w:vertAlign w:val="baseline"/>
              </w:rPr>
            </w:pPr>
            <w:r>
              <w:t xml:space="preserve">82  </w:t>
            </w:r>
          </w:p>
        </w:tc>
        <w:tc>
          <w:tcPr>
            <w:tcW w:w="1705" w:type="dxa"/>
          </w:tcPr>
          <w:p w14:paraId="1119272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  <w:tc>
          <w:tcPr>
            <w:tcW w:w="1705" w:type="dxa"/>
          </w:tcPr>
          <w:p w14:paraId="483E9F9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</w:tbl>
    <w:p w14:paraId="3DF05B2E"/>
    <w:p w14:paraId="0DB4A667">
      <w:r>
        <w:t xml:space="preserve"> 5.</w:t>
      </w:r>
      <w:r>
        <w:rPr>
          <w:rFonts w:hint="eastAsia"/>
          <w:lang w:val="en-US" w:eastAsia="zh-CN"/>
        </w:rPr>
        <w:t>3</w:t>
      </w:r>
      <w:r>
        <w:t xml:space="preserve"> 频闪检测结果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140D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10D674A0">
            <w:pPr>
              <w:rPr>
                <w:vertAlign w:val="baseline"/>
              </w:rPr>
            </w:pPr>
            <w:r>
              <w:t xml:space="preserve">区域  </w:t>
            </w:r>
          </w:p>
        </w:tc>
        <w:tc>
          <w:tcPr>
            <w:tcW w:w="2130" w:type="dxa"/>
          </w:tcPr>
          <w:p w14:paraId="44971311">
            <w:pPr>
              <w:rPr>
                <w:vertAlign w:val="baseline"/>
              </w:rPr>
            </w:pPr>
            <w:r>
              <w:t xml:space="preserve">频闪频率 (Hz) </w:t>
            </w:r>
          </w:p>
        </w:tc>
        <w:tc>
          <w:tcPr>
            <w:tcW w:w="2131" w:type="dxa"/>
          </w:tcPr>
          <w:p w14:paraId="0B2CA4DE">
            <w:pPr>
              <w:rPr>
                <w:vertAlign w:val="baseline"/>
              </w:rPr>
            </w:pPr>
            <w:r>
              <w:t xml:space="preserve"> 标准要求 (&gt;3125Hz)</w:t>
            </w:r>
          </w:p>
        </w:tc>
        <w:tc>
          <w:tcPr>
            <w:tcW w:w="2131" w:type="dxa"/>
          </w:tcPr>
          <w:p w14:paraId="62CEC9C1">
            <w:pPr>
              <w:rPr>
                <w:vertAlign w:val="baseline"/>
              </w:rPr>
            </w:pPr>
            <w:r>
              <w:t xml:space="preserve"> 是否达标 </w:t>
            </w:r>
          </w:p>
        </w:tc>
      </w:tr>
      <w:tr w14:paraId="25E48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4316E44F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餐厅</w:t>
            </w:r>
          </w:p>
        </w:tc>
        <w:tc>
          <w:tcPr>
            <w:tcW w:w="2130" w:type="dxa"/>
          </w:tcPr>
          <w:p w14:paraId="6F7502E6">
            <w:pPr>
              <w:rPr>
                <w:vertAlign w:val="baseline"/>
              </w:rPr>
            </w:pPr>
            <w:r>
              <w:t>无频闪</w:t>
            </w:r>
          </w:p>
        </w:tc>
        <w:tc>
          <w:tcPr>
            <w:tcW w:w="2131" w:type="dxa"/>
          </w:tcPr>
          <w:p w14:paraId="6CCD793D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  <w:tc>
          <w:tcPr>
            <w:tcW w:w="2131" w:type="dxa"/>
          </w:tcPr>
          <w:p w14:paraId="7B111DE7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545F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12B06FE2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后厨区</w:t>
            </w:r>
          </w:p>
        </w:tc>
        <w:tc>
          <w:tcPr>
            <w:tcW w:w="2130" w:type="dxa"/>
          </w:tcPr>
          <w:p w14:paraId="0AB65EFA">
            <w:pPr>
              <w:rPr>
                <w:vertAlign w:val="baseline"/>
              </w:rPr>
            </w:pPr>
            <w:r>
              <w:t xml:space="preserve">无频闪 </w:t>
            </w:r>
          </w:p>
        </w:tc>
        <w:tc>
          <w:tcPr>
            <w:tcW w:w="2131" w:type="dxa"/>
          </w:tcPr>
          <w:p w14:paraId="7DE7A94F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  <w:tc>
          <w:tcPr>
            <w:tcW w:w="2131" w:type="dxa"/>
          </w:tcPr>
          <w:p w14:paraId="5E466D05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</w:tbl>
    <w:p w14:paraId="33AAA580"/>
    <w:p w14:paraId="717C9C52">
      <w:r>
        <w:t xml:space="preserve"> 5.</w:t>
      </w:r>
      <w:r>
        <w:rPr>
          <w:rFonts w:hint="eastAsia"/>
          <w:lang w:val="en-US" w:eastAsia="zh-CN"/>
        </w:rPr>
        <w:t xml:space="preserve">4 </w:t>
      </w:r>
      <w:r>
        <w:t>自然光利用检测结果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A56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5EFE4C8B">
            <w:pPr>
              <w:rPr>
                <w:vertAlign w:val="baseline"/>
              </w:rPr>
            </w:pPr>
            <w:r>
              <w:t>区域</w:t>
            </w:r>
          </w:p>
        </w:tc>
        <w:tc>
          <w:tcPr>
            <w:tcW w:w="1704" w:type="dxa"/>
          </w:tcPr>
          <w:p w14:paraId="44B35701">
            <w:pPr>
              <w:rPr>
                <w:vertAlign w:val="baseline"/>
              </w:rPr>
            </w:pPr>
            <w:r>
              <w:t xml:space="preserve">自然光照度 (lx) </w:t>
            </w:r>
          </w:p>
        </w:tc>
        <w:tc>
          <w:tcPr>
            <w:tcW w:w="1704" w:type="dxa"/>
          </w:tcPr>
          <w:p w14:paraId="56A8463A">
            <w:pPr>
              <w:rPr>
                <w:vertAlign w:val="baseline"/>
              </w:rPr>
            </w:pPr>
            <w:r>
              <w:t>人工照度 (lx)</w:t>
            </w:r>
          </w:p>
        </w:tc>
        <w:tc>
          <w:tcPr>
            <w:tcW w:w="1705" w:type="dxa"/>
          </w:tcPr>
          <w:p w14:paraId="5BF558F9">
            <w:pPr>
              <w:rPr>
                <w:vertAlign w:val="baseline"/>
              </w:rPr>
            </w:pPr>
            <w:r>
              <w:t xml:space="preserve">自然光利用率 (%) </w:t>
            </w:r>
          </w:p>
        </w:tc>
        <w:tc>
          <w:tcPr>
            <w:tcW w:w="1705" w:type="dxa"/>
          </w:tcPr>
          <w:p w14:paraId="2B75A60C">
            <w:pPr>
              <w:rPr>
                <w:vertAlign w:val="baseline"/>
              </w:rPr>
            </w:pPr>
            <w:r>
              <w:t>是否达标</w:t>
            </w:r>
          </w:p>
        </w:tc>
      </w:tr>
      <w:tr w14:paraId="3E8B5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5482898F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餐厅</w:t>
            </w:r>
          </w:p>
        </w:tc>
        <w:tc>
          <w:tcPr>
            <w:tcW w:w="1704" w:type="dxa"/>
          </w:tcPr>
          <w:p w14:paraId="55D0E074">
            <w:pPr>
              <w:rPr>
                <w:vertAlign w:val="baseline"/>
              </w:rPr>
            </w:pPr>
            <w:r>
              <w:t xml:space="preserve">200 </w:t>
            </w:r>
          </w:p>
        </w:tc>
        <w:tc>
          <w:tcPr>
            <w:tcW w:w="1704" w:type="dxa"/>
          </w:tcPr>
          <w:p w14:paraId="191588BA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</w:t>
            </w:r>
          </w:p>
        </w:tc>
        <w:tc>
          <w:tcPr>
            <w:tcW w:w="1705" w:type="dxa"/>
          </w:tcPr>
          <w:p w14:paraId="0D04EB5B">
            <w:pPr>
              <w:rPr>
                <w:vertAlign w:val="baseline"/>
              </w:rPr>
            </w:pPr>
            <w:r>
              <w:t xml:space="preserve">62.5%             </w:t>
            </w:r>
          </w:p>
        </w:tc>
        <w:tc>
          <w:tcPr>
            <w:tcW w:w="1705" w:type="dxa"/>
          </w:tcPr>
          <w:p w14:paraId="5EE2A17A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59B13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4C3DDC36">
            <w:pPr>
              <w:rPr>
                <w:vertAlign w:val="baseline"/>
              </w:rPr>
            </w:pPr>
            <w:r>
              <w:rPr>
                <w:rFonts w:hint="eastAsia"/>
                <w:lang w:eastAsia="zh-CN"/>
              </w:rPr>
              <w:t>后厨区</w:t>
            </w:r>
            <w:r>
              <w:t xml:space="preserve"> </w:t>
            </w:r>
          </w:p>
        </w:tc>
        <w:tc>
          <w:tcPr>
            <w:tcW w:w="1704" w:type="dxa"/>
          </w:tcPr>
          <w:p w14:paraId="66EB96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</w:t>
            </w:r>
          </w:p>
        </w:tc>
        <w:tc>
          <w:tcPr>
            <w:tcW w:w="1704" w:type="dxa"/>
          </w:tcPr>
          <w:p w14:paraId="5699C3D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140</w:t>
            </w:r>
          </w:p>
        </w:tc>
        <w:tc>
          <w:tcPr>
            <w:tcW w:w="1705" w:type="dxa"/>
          </w:tcPr>
          <w:p w14:paraId="00453FD8">
            <w:pPr>
              <w:rPr>
                <w:vertAlign w:val="baseline"/>
              </w:rPr>
            </w:pPr>
            <w:r>
              <w:t xml:space="preserve">51.7%  </w:t>
            </w:r>
          </w:p>
        </w:tc>
        <w:tc>
          <w:tcPr>
            <w:tcW w:w="1705" w:type="dxa"/>
          </w:tcPr>
          <w:p w14:paraId="5B46F42F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</w:tbl>
    <w:p w14:paraId="744FE9A9"/>
    <w:p w14:paraId="57807E65">
      <w:r>
        <w:rPr>
          <w:rFonts w:hint="eastAsia"/>
          <w:lang w:val="en-US" w:eastAsia="zh-CN"/>
        </w:rPr>
        <w:t>6</w:t>
      </w:r>
      <w:r>
        <w:t>. 结论</w:t>
      </w:r>
    </w:p>
    <w:p w14:paraId="37707DF3">
      <w:r>
        <w:t xml:space="preserve">本次检测结果显示，项目现场的照明系统总体符合绿色建筑标准，但在会议室照度和功率密度方面存在不足。建议针对问题区域进行优化，以确保照明系统的能效和舒适性达到最佳状态。 </w:t>
      </w:r>
    </w:p>
    <w:p w14:paraId="03E928ED">
      <w:r>
        <w:t>报告日期: 202</w:t>
      </w:r>
      <w:r>
        <w:rPr>
          <w:lang w:val="en-US"/>
        </w:rPr>
        <w:t>4</w:t>
      </w:r>
      <w:r>
        <w:t>年</w:t>
      </w:r>
      <w:r>
        <w:rPr>
          <w:lang w:val="en-US"/>
        </w:rPr>
        <w:t>6</w:t>
      </w:r>
      <w:r>
        <w:t>月</w:t>
      </w:r>
      <w:r>
        <w:rPr>
          <w:lang w:val="en-US"/>
        </w:rPr>
        <w:t>24</w:t>
      </w:r>
      <w:r>
        <w:t xml:space="preserve">日  </w:t>
      </w:r>
    </w:p>
    <w:p w14:paraId="1226F25F">
      <w:r>
        <w:t>备注: 本报告仅对检测时的现场情况负责，后续如有调整或改造，需重新检测评估。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0A58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1185</Words>
  <Characters>1529</Characters>
  <Paragraphs>98</Paragraphs>
  <TotalTime>5</TotalTime>
  <ScaleCrop>false</ScaleCrop>
  <LinksUpToDate>false</LinksUpToDate>
  <CharactersWithSpaces>2453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2025-03-13T13:53:00Z</dcterms:created>
  <dc:creator>V2183A</dc:creator>
  <cp:lastModifiedBy>.</cp:lastModifiedBy>
  <dcterms:modified xsi:type="dcterms:W3CDTF">2025-03-13T14:15:38Z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4823F18184874B55B5348E7DED2C1131_13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KSOProductBuildVer">
    <vt:lpwstr>2052-12.1.0.20305</vt:lpwstr>
  </property>
</Properties>
</file>