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62F84">
      <w:pPr>
        <w:rPr>
          <w:b/>
          <w:bCs/>
          <w:sz w:val="28"/>
          <w:szCs w:val="32"/>
          <w:lang w:val="en-US"/>
        </w:rPr>
      </w:pPr>
      <w:r>
        <w:rPr>
          <w:b/>
          <w:bCs/>
          <w:sz w:val="28"/>
          <w:szCs w:val="32"/>
          <w:lang w:val="en-US"/>
        </w:rPr>
        <w:t xml:space="preserve"> 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               </w:t>
      </w:r>
      <w:r>
        <w:rPr>
          <w:b/>
          <w:bCs/>
          <w:sz w:val="28"/>
          <w:szCs w:val="32"/>
          <w:lang w:val="en-US"/>
        </w:rPr>
        <w:t>本地化材料使用比例计算文件</w:t>
      </w:r>
    </w:p>
    <w:p w14:paraId="72E8A2EC"/>
    <w:p w14:paraId="19769989">
      <w:pPr>
        <w:rPr>
          <w:rFonts w:hint="eastAsia" w:eastAsia="宋体"/>
          <w:lang w:val="en-US" w:eastAsia="zh-CN"/>
        </w:rPr>
      </w:pPr>
      <w:r>
        <w:rPr>
          <w:lang w:val="en-US"/>
        </w:rPr>
        <w:t xml:space="preserve"> 项目名称：</w:t>
      </w:r>
      <w:r>
        <w:rPr>
          <w:rFonts w:hint="eastAsia"/>
          <w:lang w:val="en-US" w:eastAsia="zh-CN"/>
        </w:rPr>
        <w:t>食韵明堂</w:t>
      </w:r>
    </w:p>
    <w:p w14:paraId="3E830896"/>
    <w:p w14:paraId="4AFFE05C">
      <w:pPr>
        <w:rPr>
          <w:rFonts w:hint="default" w:eastAsia="宋体"/>
          <w:lang w:val="en-US" w:eastAsia="zh-CN"/>
        </w:rPr>
      </w:pPr>
      <w:r>
        <w:rPr>
          <w:lang w:val="en-US"/>
        </w:rPr>
        <w:t xml:space="preserve"> 项目地点：</w:t>
      </w:r>
      <w:r>
        <w:rPr>
          <w:rFonts w:hint="eastAsia"/>
          <w:lang w:val="en-US" w:eastAsia="zh-CN"/>
        </w:rPr>
        <w:t>山东省青岛市</w:t>
      </w:r>
    </w:p>
    <w:p w14:paraId="5EC795C4"/>
    <w:p w14:paraId="770DDC6C">
      <w:pPr>
        <w:rPr>
          <w:lang w:val="en-US"/>
        </w:rPr>
      </w:pPr>
      <w:r>
        <w:rPr>
          <w:lang w:val="en-US"/>
        </w:rPr>
        <w:t xml:space="preserve"> 项目类型：公共建筑</w:t>
      </w:r>
    </w:p>
    <w:p w14:paraId="4B956469"/>
    <w:p w14:paraId="6C2A2A2E">
      <w:pPr>
        <w:rPr>
          <w:lang w:val="en-US"/>
        </w:rPr>
      </w:pPr>
      <w:r>
        <w:rPr>
          <w:lang w:val="en-US"/>
        </w:rPr>
        <w:t xml:space="preserve"> 建筑面积：1</w:t>
      </w:r>
      <w:r>
        <w:rPr>
          <w:rFonts w:hint="eastAsia"/>
          <w:lang w:val="en-US" w:eastAsia="zh-CN"/>
        </w:rPr>
        <w:t>2302</w:t>
      </w:r>
      <w:r>
        <w:rPr>
          <w:lang w:val="en-US"/>
        </w:rPr>
        <w:t xml:space="preserve"> 平方米</w:t>
      </w:r>
    </w:p>
    <w:p w14:paraId="66F23F0A"/>
    <w:p w14:paraId="701435E4">
      <w:pPr>
        <w:rPr>
          <w:lang w:val="en-US"/>
        </w:rPr>
      </w:pPr>
      <w:r>
        <w:rPr>
          <w:lang w:val="en-US"/>
        </w:rPr>
        <w:t xml:space="preserve"> 计算依据：</w:t>
      </w:r>
    </w:p>
    <w:p w14:paraId="405341A7">
      <w:pPr>
        <w:rPr>
          <w:lang w:val="en-US"/>
        </w:rPr>
      </w:pPr>
      <w:r>
        <w:rPr>
          <w:lang w:val="en-US"/>
        </w:rPr>
        <w:t>1. 《绿色建筑评价标准》GB/T 503782019</w:t>
      </w:r>
    </w:p>
    <w:p w14:paraId="3FF14189">
      <w:pPr>
        <w:rPr>
          <w:lang w:val="en-US"/>
        </w:rPr>
      </w:pPr>
      <w:r>
        <w:rPr>
          <w:lang w:val="en-US"/>
        </w:rPr>
        <w:t>2. 《建筑材料本地化应用技术导则》</w:t>
      </w:r>
    </w:p>
    <w:p w14:paraId="50CEA768">
      <w:pPr>
        <w:rPr>
          <w:lang w:val="en-US"/>
        </w:rPr>
      </w:pPr>
      <w:r>
        <w:rPr>
          <w:lang w:val="en-US"/>
        </w:rPr>
        <w:t>3. 项目设计图纸及材料清单</w:t>
      </w:r>
    </w:p>
    <w:p w14:paraId="6ACD303F"/>
    <w:p w14:paraId="28B08603">
      <w:pPr>
        <w:rPr>
          <w:lang w:val="en-US"/>
        </w:rPr>
      </w:pPr>
      <w:r>
        <w:rPr>
          <w:lang w:val="en-US"/>
        </w:rPr>
        <w:t xml:space="preserve"> 计算目标：</w:t>
      </w:r>
    </w:p>
    <w:p w14:paraId="76001C9E">
      <w:pPr>
        <w:rPr>
          <w:lang w:val="en-US"/>
        </w:rPr>
      </w:pPr>
      <w:r>
        <w:rPr>
          <w:lang w:val="en-US"/>
        </w:rPr>
        <w:t>确定项目中本地化材料的使用比例，确保符合绿色建筑评价标准中关于本地化材料使用的要求。</w:t>
      </w:r>
    </w:p>
    <w:p w14:paraId="0701B30C"/>
    <w:p w14:paraId="7D96771E">
      <w:pPr>
        <w:rPr>
          <w:lang w:val="en-US"/>
        </w:rPr>
      </w:pPr>
      <w:r>
        <w:rPr>
          <w:lang w:val="en-US"/>
        </w:rPr>
        <w:t xml:space="preserve"> 本地化材料定义：</w:t>
      </w:r>
    </w:p>
    <w:p w14:paraId="48A04556">
      <w:pPr>
        <w:rPr>
          <w:lang w:val="en-US"/>
        </w:rPr>
      </w:pPr>
      <w:r>
        <w:rPr>
          <w:lang w:val="en-US"/>
        </w:rPr>
        <w:t>根据《绿色建筑评价标准》，本地化材料指在项目所在地500公里范围内生产的建筑材料。</w:t>
      </w:r>
    </w:p>
    <w:p w14:paraId="2638E6A7"/>
    <w:p w14:paraId="7BBE3B90">
      <w:pPr>
        <w:rPr>
          <w:lang w:val="en-US"/>
        </w:rPr>
      </w:pPr>
      <w:r>
        <w:rPr>
          <w:lang w:val="en-US"/>
        </w:rPr>
        <w:t xml:space="preserve"> 计算步骤：</w:t>
      </w:r>
    </w:p>
    <w:p w14:paraId="7D87BD62"/>
    <w:p w14:paraId="267935C2">
      <w:pPr>
        <w:rPr>
          <w:lang w:val="en-US"/>
        </w:rPr>
      </w:pPr>
      <w:r>
        <w:rPr>
          <w:lang w:val="en-US"/>
        </w:rPr>
        <w:t>1. 材料分类及总量统计</w:t>
      </w:r>
    </w:p>
    <w:p w14:paraId="55F724F9">
      <w:pPr>
        <w:rPr>
          <w:lang w:val="en-US"/>
        </w:rPr>
      </w:pPr>
      <w:r>
        <w:rPr>
          <w:lang w:val="en-US"/>
        </w:rPr>
        <w:t xml:space="preserve">    根据项目设计图纸和材料清单，统计主要建筑材料的种类及使用量。</w:t>
      </w:r>
    </w:p>
    <w:p w14:paraId="5BCA693B">
      <w:pPr>
        <w:rPr>
          <w:lang w:val="en-US"/>
        </w:rPr>
      </w:pPr>
      <w:r>
        <w:rPr>
          <w:lang w:val="en-US"/>
        </w:rPr>
        <w:t xml:space="preserve">    主要材料包括：混凝土、钢材、木材、玻璃、保温材料、装饰材料等。</w:t>
      </w:r>
    </w:p>
    <w:p w14:paraId="634856D4"/>
    <w:p w14:paraId="3F8F497E">
      <w:pPr>
        <w:rPr>
          <w:lang w:val="en-US"/>
        </w:rPr>
      </w:pPr>
      <w:r>
        <w:rPr>
          <w:lang w:val="en-US"/>
        </w:rPr>
        <w:t>2. 本地化材料使用量统计</w:t>
      </w:r>
    </w:p>
    <w:p w14:paraId="5FAED84B">
      <w:pPr>
        <w:rPr>
          <w:lang w:val="en-US"/>
        </w:rPr>
      </w:pPr>
      <w:r>
        <w:rPr>
          <w:lang w:val="en-US"/>
        </w:rPr>
        <w:t xml:space="preserve">    通过与供应商沟通，确认每种材料的产地，筛选出500公里范围内生产的材料。</w:t>
      </w:r>
    </w:p>
    <w:p w14:paraId="3FC6B141">
      <w:pPr>
        <w:rPr>
          <w:lang w:val="en-US"/>
        </w:rPr>
      </w:pPr>
      <w:r>
        <w:rPr>
          <w:lang w:val="en-US"/>
        </w:rPr>
        <w:t xml:space="preserve">    统计本地化材料的使用量。</w:t>
      </w:r>
    </w:p>
    <w:p w14:paraId="1BD3B8B1"/>
    <w:p w14:paraId="6980C903">
      <w:pPr>
        <w:rPr>
          <w:lang w:val="en-US"/>
        </w:rPr>
      </w:pPr>
      <w:r>
        <w:rPr>
          <w:lang w:val="en-US"/>
        </w:rPr>
        <w:t>3. 计算本地化材料使用比例</w:t>
      </w:r>
    </w:p>
    <w:p w14:paraId="06FE8F8E">
      <w:pPr>
        <w:rPr>
          <w:lang w:val="en-US"/>
        </w:rPr>
      </w:pPr>
      <w:r>
        <w:rPr>
          <w:lang w:val="en-US"/>
        </w:rPr>
        <w:t xml:space="preserve">    本地化材料使用比例 = （本地化材料使用量 / 材料总使用量） × 100%</w:t>
      </w:r>
    </w:p>
    <w:p w14:paraId="73C75153"/>
    <w:p w14:paraId="67C98695">
      <w:pPr>
        <w:rPr>
          <w:lang w:val="en-US"/>
        </w:rPr>
      </w:pPr>
      <w:r>
        <w:rPr>
          <w:lang w:val="en-US"/>
        </w:rPr>
        <w:t xml:space="preserve"> 数据统计：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1F009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2D8211A6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材料类别</w:t>
            </w:r>
          </w:p>
        </w:tc>
        <w:tc>
          <w:tcPr>
            <w:tcW w:w="2130" w:type="dxa"/>
          </w:tcPr>
          <w:p w14:paraId="55384768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材料总使用量（吨）</w:t>
            </w:r>
          </w:p>
        </w:tc>
        <w:tc>
          <w:tcPr>
            <w:tcW w:w="2131" w:type="dxa"/>
          </w:tcPr>
          <w:p w14:paraId="5DF11FDC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本地化材料使用量（吨） </w:t>
            </w:r>
          </w:p>
        </w:tc>
        <w:tc>
          <w:tcPr>
            <w:tcW w:w="2131" w:type="dxa"/>
          </w:tcPr>
          <w:p w14:paraId="38AD06B8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本地化材料比例（%）</w:t>
            </w:r>
          </w:p>
        </w:tc>
      </w:tr>
      <w:tr w14:paraId="0B0B7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411CC371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混凝土</w:t>
            </w:r>
          </w:p>
        </w:tc>
        <w:tc>
          <w:tcPr>
            <w:tcW w:w="2130" w:type="dxa"/>
          </w:tcPr>
          <w:p w14:paraId="22D3EDBB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5,000</w:t>
            </w:r>
          </w:p>
        </w:tc>
        <w:tc>
          <w:tcPr>
            <w:tcW w:w="2131" w:type="dxa"/>
          </w:tcPr>
          <w:p w14:paraId="3EE7356F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4,500</w:t>
            </w:r>
          </w:p>
        </w:tc>
        <w:tc>
          <w:tcPr>
            <w:tcW w:w="2131" w:type="dxa"/>
          </w:tcPr>
          <w:p w14:paraId="420FE98E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 90% </w:t>
            </w:r>
          </w:p>
        </w:tc>
      </w:tr>
      <w:tr w14:paraId="1606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D3660D0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钢材</w:t>
            </w:r>
          </w:p>
        </w:tc>
        <w:tc>
          <w:tcPr>
            <w:tcW w:w="2130" w:type="dxa"/>
          </w:tcPr>
          <w:p w14:paraId="4FAF96F9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1,200</w:t>
            </w:r>
          </w:p>
        </w:tc>
        <w:tc>
          <w:tcPr>
            <w:tcW w:w="2131" w:type="dxa"/>
          </w:tcPr>
          <w:p w14:paraId="1D7A4222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1,000 </w:t>
            </w:r>
          </w:p>
        </w:tc>
        <w:tc>
          <w:tcPr>
            <w:tcW w:w="2131" w:type="dxa"/>
          </w:tcPr>
          <w:p w14:paraId="0EA99F8D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83.3% </w:t>
            </w:r>
          </w:p>
        </w:tc>
      </w:tr>
      <w:tr w14:paraId="6064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1153554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木材</w:t>
            </w:r>
          </w:p>
        </w:tc>
        <w:tc>
          <w:tcPr>
            <w:tcW w:w="2130" w:type="dxa"/>
          </w:tcPr>
          <w:p w14:paraId="6EF5D1B1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300 </w:t>
            </w:r>
          </w:p>
        </w:tc>
        <w:tc>
          <w:tcPr>
            <w:tcW w:w="2131" w:type="dxa"/>
          </w:tcPr>
          <w:p w14:paraId="3FBED551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2131" w:type="dxa"/>
          </w:tcPr>
          <w:p w14:paraId="5B023123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66.7% </w:t>
            </w:r>
          </w:p>
        </w:tc>
      </w:tr>
      <w:tr w14:paraId="1322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3C730A55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玻璃</w:t>
            </w:r>
          </w:p>
        </w:tc>
        <w:tc>
          <w:tcPr>
            <w:tcW w:w="2130" w:type="dxa"/>
          </w:tcPr>
          <w:p w14:paraId="59D0921F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2131" w:type="dxa"/>
          </w:tcPr>
          <w:p w14:paraId="392BED48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 80 </w:t>
            </w:r>
          </w:p>
        </w:tc>
        <w:tc>
          <w:tcPr>
            <w:tcW w:w="2131" w:type="dxa"/>
          </w:tcPr>
          <w:p w14:paraId="14A7723F">
            <w:pPr>
              <w:rPr>
                <w:vertAlign w:val="baseline"/>
                <w:lang w:val="en-US"/>
              </w:rPr>
            </w:pPr>
            <w:r>
              <w:rPr>
                <w:lang w:val="en-US"/>
              </w:rPr>
              <w:t xml:space="preserve">80% </w:t>
            </w:r>
          </w:p>
        </w:tc>
      </w:tr>
      <w:tr w14:paraId="65DC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625365CC">
            <w:pPr>
              <w:rPr>
                <w:lang w:val="en-US"/>
              </w:rPr>
            </w:pPr>
            <w:r>
              <w:rPr>
                <w:lang w:val="en-US"/>
              </w:rPr>
              <w:t>保温材料</w:t>
            </w:r>
          </w:p>
        </w:tc>
        <w:tc>
          <w:tcPr>
            <w:tcW w:w="2130" w:type="dxa"/>
          </w:tcPr>
          <w:p w14:paraId="79DD608A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2131" w:type="dxa"/>
          </w:tcPr>
          <w:p w14:paraId="0D2057A0">
            <w:pPr>
              <w:rPr>
                <w:lang w:val="en-US"/>
              </w:rPr>
            </w:pPr>
            <w:r>
              <w:rPr>
                <w:lang w:val="en-US"/>
              </w:rPr>
              <w:t>120</w:t>
            </w:r>
          </w:p>
        </w:tc>
        <w:tc>
          <w:tcPr>
            <w:tcW w:w="2131" w:type="dxa"/>
          </w:tcPr>
          <w:p w14:paraId="63FDBE09">
            <w:pPr>
              <w:rPr>
                <w:lang w:val="en-US"/>
              </w:rPr>
            </w:pPr>
            <w:r>
              <w:rPr>
                <w:lang w:val="en-US"/>
              </w:rPr>
              <w:t xml:space="preserve"> 80% </w:t>
            </w:r>
          </w:p>
        </w:tc>
      </w:tr>
      <w:tr w14:paraId="749B4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</w:tcPr>
          <w:p w14:paraId="1B12352C">
            <w:pPr>
              <w:rPr>
                <w:lang w:val="en-US"/>
              </w:rPr>
            </w:pPr>
            <w:r>
              <w:rPr>
                <w:lang w:val="en-US"/>
              </w:rPr>
              <w:t>装饰材料</w:t>
            </w:r>
          </w:p>
        </w:tc>
        <w:tc>
          <w:tcPr>
            <w:tcW w:w="2130" w:type="dxa"/>
          </w:tcPr>
          <w:p w14:paraId="35855071">
            <w:pPr>
              <w:rPr>
                <w:lang w:val="en-US"/>
              </w:rPr>
            </w:pPr>
            <w:r>
              <w:rPr>
                <w:lang w:val="en-US"/>
              </w:rPr>
              <w:t xml:space="preserve">200 </w:t>
            </w:r>
          </w:p>
        </w:tc>
        <w:tc>
          <w:tcPr>
            <w:tcW w:w="2131" w:type="dxa"/>
          </w:tcPr>
          <w:p w14:paraId="420E0AAF">
            <w:pPr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  <w:tc>
          <w:tcPr>
            <w:tcW w:w="2131" w:type="dxa"/>
          </w:tcPr>
          <w:p w14:paraId="342476AC">
            <w:pPr>
              <w:rPr>
                <w:lang w:val="en-US"/>
              </w:rPr>
            </w:pPr>
            <w:r>
              <w:rPr>
                <w:lang w:val="en-US"/>
              </w:rPr>
              <w:t xml:space="preserve"> 75%</w:t>
            </w:r>
          </w:p>
        </w:tc>
      </w:tr>
      <w:tr w14:paraId="29D0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012170C5">
            <w:pPr>
              <w:rPr>
                <w:lang w:val="en-US"/>
              </w:rPr>
            </w:pPr>
            <w:r>
              <w:rPr>
                <w:lang w:val="en-US"/>
              </w:rPr>
              <w:t>总计</w:t>
            </w:r>
          </w:p>
        </w:tc>
        <w:tc>
          <w:tcPr>
            <w:tcW w:w="2130" w:type="dxa"/>
          </w:tcPr>
          <w:p w14:paraId="43842538">
            <w:pPr>
              <w:rPr>
                <w:lang w:val="en-US"/>
              </w:rPr>
            </w:pPr>
            <w:r>
              <w:rPr>
                <w:lang w:val="en-US"/>
              </w:rPr>
              <w:t>6,950</w:t>
            </w:r>
          </w:p>
        </w:tc>
        <w:tc>
          <w:tcPr>
            <w:tcW w:w="2131" w:type="dxa"/>
          </w:tcPr>
          <w:p w14:paraId="4E0E9DCB">
            <w:pPr>
              <w:rPr>
                <w:lang w:val="en-US"/>
              </w:rPr>
            </w:pPr>
            <w:r>
              <w:rPr>
                <w:lang w:val="en-US"/>
              </w:rPr>
              <w:t>6,050</w:t>
            </w:r>
          </w:p>
        </w:tc>
        <w:tc>
          <w:tcPr>
            <w:tcW w:w="2131" w:type="dxa"/>
          </w:tcPr>
          <w:p w14:paraId="61D18139">
            <w:pPr>
              <w:rPr>
                <w:lang w:val="en-US"/>
              </w:rPr>
            </w:pPr>
            <w:r>
              <w:rPr>
                <w:lang w:val="en-US"/>
              </w:rPr>
              <w:t>87.1%</w:t>
            </w:r>
          </w:p>
        </w:tc>
      </w:tr>
    </w:tbl>
    <w:p w14:paraId="2695FE45"/>
    <w:p w14:paraId="34248353">
      <w:pPr>
        <w:rPr>
          <w:lang w:val="en-US"/>
        </w:rPr>
      </w:pPr>
      <w:r>
        <w:rPr>
          <w:lang w:val="en-US"/>
        </w:rPr>
        <w:t xml:space="preserve"> 计算结果：</w:t>
      </w:r>
    </w:p>
    <w:p w14:paraId="424FCE12">
      <w:pPr>
        <w:rPr>
          <w:lang w:val="en-US"/>
        </w:rPr>
      </w:pPr>
      <w:r>
        <w:rPr>
          <w:lang w:val="en-US"/>
        </w:rPr>
        <w:t xml:space="preserve"> 本地化材料使用比例：87.1%</w:t>
      </w:r>
    </w:p>
    <w:p w14:paraId="1E7D481C"/>
    <w:p w14:paraId="2B8C0723">
      <w:pPr>
        <w:rPr>
          <w:lang w:val="en-US"/>
        </w:rPr>
      </w:pPr>
      <w:r>
        <w:rPr>
          <w:lang w:val="en-US"/>
        </w:rPr>
        <w:t xml:space="preserve"> 结论：</w:t>
      </w:r>
    </w:p>
    <w:p w14:paraId="3836465E">
      <w:pPr>
        <w:rPr>
          <w:lang w:val="en-US"/>
        </w:rPr>
      </w:pPr>
      <w:r>
        <w:rPr>
          <w:lang w:val="en-US"/>
        </w:rPr>
        <w:t xml:space="preserve"> 本项目本地化材料使用比例为87.1%，符合《绿色建筑评价标准》中关于本地化材料使用比例的要求（≥70%）。</w:t>
      </w:r>
    </w:p>
    <w:p w14:paraId="46D7F220">
      <w:pPr>
        <w:rPr>
          <w:lang w:val="en-US"/>
        </w:rPr>
      </w:pPr>
      <w:r>
        <w:rPr>
          <w:lang w:val="en-US"/>
        </w:rPr>
        <w:t xml:space="preserve"> 项目在材料选择上充分考虑了本地化原则，减少了运输过程中的碳排放，符合绿色建筑的理念。</w:t>
      </w:r>
    </w:p>
    <w:p w14:paraId="050511D1"/>
    <w:p w14:paraId="0C0AC44D">
      <w:pPr>
        <w:rPr>
          <w:lang w:val="en-US"/>
        </w:rPr>
      </w:pPr>
      <w:r>
        <w:rPr>
          <w:lang w:val="en-US"/>
        </w:rPr>
        <w:t xml:space="preserve"> 建议：</w:t>
      </w:r>
    </w:p>
    <w:p w14:paraId="239D9B42">
      <w:pPr>
        <w:rPr>
          <w:lang w:val="en-US"/>
        </w:rPr>
      </w:pPr>
      <w:r>
        <w:rPr>
          <w:lang w:val="en-US"/>
        </w:rPr>
        <w:t xml:space="preserve"> 在后续施工过程中，继续优先选择本地化材料，确保本地化材料使用比例不低于70%。</w:t>
      </w:r>
    </w:p>
    <w:p w14:paraId="0C139805">
      <w:r>
        <w:rPr>
          <w:lang w:val="en-US"/>
        </w:rPr>
        <w:t xml:space="preserve"> 定期与供应商沟通，确保材料来源的可靠性，避免因供应链问题影响本地化材料的使用比例</w:t>
      </w:r>
      <w:bookmarkStart w:id="0" w:name="_GoBack"/>
      <w:bookmarkEnd w:id="0"/>
    </w:p>
    <w:p w14:paraId="4FF6FF47">
      <w:pPr>
        <w:rPr>
          <w:lang w:val="en-US"/>
        </w:rPr>
      </w:pPr>
    </w:p>
    <w:p w14:paraId="73B94A41"/>
    <w:p w14:paraId="6BDCF53E">
      <w:r>
        <w:rPr>
          <w:lang w:val="en-US"/>
        </w:rPr>
        <w:t>备注：以上数据为示例数据，实际项目中应根据具体情况进行统计和计算。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13167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756</Words>
  <Characters>872</Characters>
  <Paragraphs>69</Paragraphs>
  <TotalTime>16</TotalTime>
  <ScaleCrop>false</ScaleCrop>
  <LinksUpToDate>false</LinksUpToDate>
  <CharactersWithSpaces>1353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2025-03-14T07:11:00Z</dcterms:created>
  <dc:creator>V2183A</dc:creator>
  <cp:lastModifiedBy>.</cp:lastModifiedBy>
  <dcterms:modified xsi:type="dcterms:W3CDTF">2025-03-14T09:15:36Z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A8BA16B9C6DB4BFEB4D3FF5BC210C1A0_13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KSOProductBuildVer">
    <vt:lpwstr>2052-12.1.0.20305</vt:lpwstr>
  </property>
</Properties>
</file>