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围护结构内部冷凝受潮验算</w:t>
      </w:r>
    </w:p>
    <w:p>
      <w:pPr>
        <w:jc w:val="center"/>
        <w:rPr>
          <w:rFonts w:hint="eastAsia"/>
          <w:b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《</w:t>
      </w:r>
      <w:r>
        <w:rPr>
          <w:rFonts w:hint="eastAsia"/>
          <w:lang w:eastAsia="zh-CN"/>
        </w:rPr>
        <w:t>民用建筑热工设计规范》（GB50176-2016</w:t>
      </w:r>
      <w:r>
        <w:rPr>
          <w:rFonts w:hint="eastAsia"/>
        </w:rPr>
        <w:t>）第</w:t>
      </w:r>
      <w:r>
        <w:rPr>
          <w:rFonts w:hint="eastAsia" w:ascii="黑体" w:eastAsia="黑体" w:cs="黑体"/>
          <w:kern w:val="0"/>
          <w:szCs w:val="21"/>
        </w:rPr>
        <w:t>6.1.3条</w:t>
      </w:r>
      <w:r>
        <w:rPr>
          <w:rFonts w:hint="eastAsia" w:ascii="宋体" w:cs="宋体"/>
          <w:kern w:val="0"/>
          <w:szCs w:val="21"/>
        </w:rPr>
        <w:t>根据采暖期间围护结构中保温材料重量湿度的</w:t>
      </w:r>
    </w:p>
    <w:p>
      <w:pPr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 w:ascii="宋体" w:cs="宋体"/>
          <w:kern w:val="0"/>
          <w:szCs w:val="21"/>
        </w:rPr>
        <w:t>允许增量，冷凝计算界面内侧所需的蒸汽渗透阻应按下式计算</w:t>
      </w:r>
      <w:r>
        <w:rPr>
          <w:rFonts w:hint="eastAsia"/>
        </w:rPr>
        <w:t>：</w:t>
      </w:r>
    </w:p>
    <w:p>
      <w:pPr>
        <w:jc w:val="center"/>
        <w:rPr>
          <w:rFonts w:hint="eastAsia"/>
        </w:rPr>
      </w:pPr>
      <w:bookmarkStart w:id="20" w:name="_GoBack"/>
      <w:bookmarkEnd w:id="20"/>
      <w:r>
        <w:rPr>
          <w:position w:val="-54"/>
        </w:rPr>
        <w:object>
          <v:shape id="_x0000_i1025" o:spt="75" type="#_x0000_t75" style="height:45.75pt;width:141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变换后：</w:t>
      </w:r>
    </w:p>
    <w:p>
      <w:pPr>
        <w:jc w:val="center"/>
        <w:rPr>
          <w:rFonts w:hint="eastAsia"/>
        </w:rPr>
      </w:pPr>
      <w:r>
        <w:rPr>
          <w:position w:val="-28"/>
        </w:rPr>
        <w:object>
          <v:shape id="_x0000_i1026" o:spt="75" type="#_x0000_t75" style="height:50.25pt;width:162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</w:p>
    <w:p>
      <w:pPr>
        <w:rPr>
          <w:rFonts w:hint="eastAsia"/>
        </w:rPr>
      </w:pPr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冷凝计算界面内侧实际的蒸汽渗透阻(㎡.h.Pa/g)；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9" o:spt="75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冷凝计算界面至围护结构外表面之间的蒸汽渗透阻(㎡.h.Pa/g)；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0" o:spt="75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1" o:spt="75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2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33" o:spt="75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34" o:spt="75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保温材料的干密度(kg/m3)；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hint="eastAsia" w:ascii="宋体" w:cs="宋体"/>
          <w:kern w:val="0"/>
          <w:szCs w:val="21"/>
        </w:rPr>
      </w:pPr>
      <w:r>
        <w:rPr>
          <w:position w:val="-6"/>
        </w:rPr>
        <w:object>
          <v:shape id="_x0000_i1035" o:spt="75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 w:val="20"/>
          <w:szCs w:val="20"/>
        </w:rPr>
      </w:pPr>
    </w:p>
    <w:p>
      <w:pPr>
        <w:ind w:firstLine="315" w:firstLineChars="150"/>
        <w:rPr>
          <w:rFonts w:hint="eastAsia"/>
        </w:rPr>
      </w:pPr>
    </w:p>
    <w:p>
      <w:pPr>
        <w:ind w:firstLine="315" w:firstLineChars="150"/>
        <w:rPr>
          <w:rFonts w:hint="eastAsia"/>
        </w:rPr>
      </w:pPr>
    </w:p>
    <w:p>
      <w:pPr>
        <w:ind w:firstLine="315" w:firstLineChars="150"/>
        <w:rPr>
          <w:rFonts w:hint="eastAsia"/>
        </w:rPr>
      </w:pPr>
    </w:p>
    <w:p>
      <w:pPr>
        <w:ind w:firstLine="315" w:firstLineChars="150"/>
        <w:rPr>
          <w:rFonts w:hint="eastAsia"/>
        </w:rPr>
      </w:pPr>
    </w:p>
    <w:p>
      <w:pPr>
        <w:ind w:firstLine="315" w:firstLineChars="150"/>
        <w:rPr>
          <w:rFonts w:hint="eastAsia"/>
        </w:rPr>
      </w:pPr>
    </w:p>
    <w:p>
      <w:pPr>
        <w:ind w:firstLine="315" w:firstLineChars="150"/>
        <w:rPr>
          <w:rFonts w:hint="eastAsia"/>
        </w:rPr>
      </w:pPr>
    </w:p>
    <w:p>
      <w:pPr>
        <w:ind w:firstLine="315" w:firstLineChars="150"/>
        <w:rPr>
          <w:rFonts w:hint="eastAsia"/>
        </w:rPr>
      </w:pPr>
    </w:p>
    <w:p>
      <w:pPr>
        <w:ind w:firstLine="315" w:firstLineChars="150"/>
        <w:sectPr>
          <w:pgSz w:w="11906" w:h="16838"/>
          <w:pgMar w:top="1440" w:right="1797" w:bottom="1440" w:left="1089" w:header="851" w:footer="992" w:gutter="0"/>
          <w:cols w:space="425" w:num="1"/>
          <w:docGrid w:type="linesAndChars" w:linePitch="312" w:charSpace="0"/>
        </w:sectPr>
      </w:pPr>
    </w:p>
    <w:p>
      <w:pPr>
        <w:ind w:firstLine="361" w:firstLineChars="150"/>
        <w:rPr>
          <w:rFonts w:hint="eastAsia" w:ascii="黑体" w:eastAsia="黑体"/>
          <w:b/>
          <w:sz w:val="24"/>
        </w:rPr>
      </w:pPr>
      <w:bookmarkStart w:id="0" w:name="DataTab"/>
      <w:bookmarkEnd w:id="0"/>
      <w:bookmarkStart w:id="1" w:name="构造序号"/>
      <w:r>
        <w:rPr>
          <w:rFonts w:hint="eastAsia" w:ascii="黑体" w:eastAsia="黑体"/>
          <w:b/>
          <w:sz w:val="24"/>
        </w:rPr>
        <w:t>一</w:t>
      </w:r>
      <w:bookmarkEnd w:id="1"/>
      <w:r>
        <w:rPr>
          <w:rFonts w:hint="eastAsia" w:ascii="黑体" w:eastAsia="黑体"/>
          <w:b/>
          <w:sz w:val="24"/>
        </w:rPr>
        <w:t>、</w:t>
      </w:r>
      <w:bookmarkStart w:id="2" w:name="构造ID"/>
      <w:r>
        <w:rPr>
          <w:rFonts w:hint="eastAsia" w:ascii="黑体" w:eastAsia="黑体"/>
          <w:b/>
          <w:sz w:val="24"/>
        </w:rPr>
        <w:t>平屋面</w:t>
      </w:r>
      <w:bookmarkEnd w:id="2"/>
      <w:r>
        <w:rPr>
          <w:rFonts w:hint="eastAsia" w:ascii="黑体" w:eastAsia="黑体"/>
          <w:b/>
          <w:sz w:val="24"/>
        </w:rPr>
        <w:tab/>
      </w:r>
      <w:r>
        <w:rPr>
          <w:rFonts w:hint="eastAsia" w:ascii="黑体" w:eastAsia="黑体"/>
          <w:b/>
          <w:sz w:val="24"/>
        </w:rPr>
        <w:tab/>
      </w:r>
      <w:r>
        <w:rPr>
          <w:rFonts w:hint="eastAsia" w:ascii="黑体" w:eastAsia="黑体"/>
          <w:b/>
          <w:sz w:val="24"/>
        </w:rPr>
        <w:tab/>
      </w:r>
      <w:r>
        <w:rPr>
          <w:rFonts w:hint="eastAsia" w:ascii="黑体" w:eastAsia="黑体"/>
          <w:b/>
          <w:sz w:val="24"/>
        </w:rPr>
        <w:tab/>
      </w:r>
    </w:p>
    <w:tbl>
      <w:tblPr>
        <w:tblStyle w:val="4"/>
        <w:tblW w:w="13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040"/>
        <w:gridCol w:w="90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公式</w:t>
            </w:r>
          </w:p>
        </w:tc>
        <w:tc>
          <w:tcPr>
            <w:tcW w:w="504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变量名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数值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0" w:type="dxa"/>
            <w:gridSpan w:val="4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（一）冷凝计算界面温度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24"/>
              </w:rPr>
              <w:object>
                <v:shape id="_x0000_i1036" o:spt="75" type="#_x0000_t75" style="height:33pt;width:111.7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6">
                  <o:LockedField>false</o:LockedField>
                </o:OLEObject>
              </w:object>
            </w:r>
            <w:r>
              <w:t xml:space="preserve"> 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37" o:spt="75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—冷凝计算界面温度（℃）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3" w:name="θ_c"/>
            <w:r>
              <w:t>-0.26</w:t>
            </w:r>
            <w:bookmarkEnd w:id="3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38" o:spt="75" type="#_x0000_t75" style="height:12pt;width:9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0">
                  <o:LockedField>false</o:LockedField>
                </o:OLEObject>
              </w:objec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39" o:spt="75" type="#_x0000_t75" style="height:12pt;width:9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2">
                  <o:LockedField>false</o:LockedField>
                </o:OLEObject>
              </w:object>
            </w:r>
            <w:r>
              <w:rPr>
                <w:rFonts w:hint="eastAsia"/>
              </w:rPr>
              <w:t>—室内计算温度（℃）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4" w:name="t_i_avg"/>
            <w:r>
              <w:t>18.00</w:t>
            </w:r>
            <w:bookmarkEnd w:id="4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0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40" o:spt="75" type="#_x0000_t75" style="height:17.25pt;width:9.7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3">
                  <o:LockedField>false</o:LockedField>
                </o:OLEObject>
              </w:objec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41" o:spt="75" type="#_x0000_t75" style="height:17.25pt;width:9.7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5">
                  <o:LockedField>false</o:LockedField>
                </o:OLEObject>
              </w:object>
            </w:r>
            <w:r>
              <w:rPr>
                <w:rFonts w:hint="eastAsia"/>
              </w:rPr>
              <w:t>—采暖期室外平均温度（℃）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5" w:name="t_e_avg"/>
            <w:r>
              <w:t>-1.00</w:t>
            </w:r>
            <w:bookmarkEnd w:id="5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应符合本规范附录三附表3.1的规定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42" o:spt="75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36">
                  <o:LockedField>false</o:LockedField>
                </o:OLEObject>
              </w:object>
            </w:r>
            <w:r>
              <w:t xml:space="preserve"> 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43" o:spt="75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38">
                  <o:LockedField>false</o:LockedField>
                </o:OLEObject>
              </w:object>
            </w:r>
            <w:r>
              <w:rPr>
                <w:rFonts w:hint="eastAsia"/>
              </w:rPr>
              <w:t>—围护结构传热阻（㎡</w:t>
            </w:r>
            <w:r>
              <w:rPr>
                <w:rFonts w:hint="eastAsia" w:ascii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>K/W）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6" w:name="Ro"/>
            <w:r>
              <w:t>1.81</w:t>
            </w:r>
            <w:bookmarkEnd w:id="6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44" o:spt="75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39">
                  <o:LockedField>false</o:LockedField>
                </o:OLEObject>
              </w:object>
            </w:r>
            <w:r>
              <w:t xml:space="preserve"> 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45" o:spt="75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1">
                  <o:LockedField>false</o:LockedField>
                </o:OLEObject>
              </w:object>
            </w:r>
            <w:r>
              <w:rPr>
                <w:rFonts w:hint="eastAsia"/>
              </w:rPr>
              <w:t>—内表面换热阻（㎡</w:t>
            </w:r>
            <w:r>
              <w:rPr>
                <w:rFonts w:hint="eastAsia" w:ascii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>K/W）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7" w:name="Ri"/>
            <w:r>
              <w:t>0.11</w:t>
            </w:r>
            <w:bookmarkEnd w:id="7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46" o:spt="75" type="#_x0000_t75" style="height:14.25pt;width:18.75pt;" o:ole="t" filled="f" o:preferrelative="t" stroked="f" coordsize="21600,21600">
                  <v:path/>
                  <v:fill on="f" focussize="0,0"/>
                  <v:stroke on="f" joinstyle="miter"/>
                  <v:imagedata r:id="rId43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42">
                  <o:LockedField>false</o:LockedField>
                </o:OLEObject>
              </w:object>
            </w:r>
            <w:r>
              <w:t xml:space="preserve"> 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47" o:spt="75" type="#_x0000_t75" style="height:14.25pt;width:18.75pt;" o:ole="t" filled="f" o:preferrelative="t" stroked="f" coordsize="21600,21600">
                  <v:path/>
                  <v:fill on="f" focussize="0,0"/>
                  <v:stroke on="f" joinstyle="miter"/>
                  <v:imagedata r:id="rId43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44">
                  <o:LockedField>false</o:LockedField>
                </o:OLEObject>
              </w:object>
            </w:r>
            <w:r>
              <w:rPr>
                <w:rFonts w:hint="eastAsia"/>
              </w:rPr>
              <w:t>—冷凝计算界面至围护结构内表面之间的热阻（㎡</w:t>
            </w:r>
            <w:r>
              <w:rPr>
                <w:rFonts w:hint="eastAsia" w:ascii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>K/W）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8" w:name="R_o_i"/>
            <w:r>
              <w:t>1.63</w:t>
            </w:r>
            <w:bookmarkEnd w:id="8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0" w:type="dxa"/>
            <w:gridSpan w:val="4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（二）其他参数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48" o:spt="75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45">
                  <o:LockedField>false</o:LockedField>
                </o:OLEObject>
              </w:objec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49" o:spt="75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4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冷凝计算界面内侧实际的蒸汽渗透阻(㎡.h.Pa/g)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9" w:name="H_o_i"/>
            <w:r>
              <w:t>10789.19</w:t>
            </w:r>
            <w:bookmarkEnd w:id="9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r>
              <w:rPr>
                <w:position w:val="-6"/>
              </w:rPr>
              <w:object>
                <v:shape id="_x0000_i1050" o:spt="75" type="#_x0000_t75" style="height:14.25pt;width:21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47">
                  <o:LockedField>false</o:LockedField>
                </o:OLEObject>
              </w:objec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51" o:spt="75" type="#_x0000_t75" style="height:14.25pt;width:21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4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冷凝计算界面至围护结构外表面之间的蒸汽渗透阻(㎡.h.Pa/g)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0" w:name="H_o_e"/>
            <w:r>
              <w:t>2593.37</w:t>
            </w:r>
            <w:bookmarkEnd w:id="10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52" o:spt="75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49">
                  <o:LockedField>false</o:LockedField>
                </o:OLEObject>
              </w:objec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53" o:spt="75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5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1" w:name="Pi"/>
            <w:r>
              <w:t>1237.20</w:t>
            </w:r>
            <w:bookmarkEnd w:id="11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根据室内计算温度和相对湿度确定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54" o:spt="75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51">
                  <o:LockedField>false</o:LockedField>
                </o:OLEObject>
              </w:object>
            </w:r>
          </w:p>
        </w:tc>
        <w:tc>
          <w:tcPr>
            <w:tcW w:w="5040" w:type="dxa"/>
            <w:vAlign w:val="center"/>
          </w:tcPr>
          <w:p>
            <w:r>
              <w:rPr>
                <w:position w:val="-6"/>
              </w:rPr>
              <w:object>
                <v:shape id="_x0000_i1055" o:spt="75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5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2" w:name="Pe"/>
            <w:r>
              <w:t>365.30</w:t>
            </w:r>
            <w:bookmarkEnd w:id="12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根据本规范附录三附表3.1查得的采暖期室外平均温度和平均相对温度确定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r>
              <w:rPr>
                <w:position w:val="-6"/>
              </w:rPr>
              <w:object>
                <v:shape id="_x0000_i1056" o:spt="75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53">
                  <o:LockedField>false</o:LockedField>
                </o:OLEObject>
              </w:objec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57" o:spt="75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54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58" o:spt="75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55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3" w:name="Psc"/>
            <w:r>
              <w:t>598.48</w:t>
            </w:r>
            <w:bookmarkEnd w:id="13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r>
              <w:rPr>
                <w:rFonts w:hint="eastAsia"/>
              </w:rPr>
              <w:t>Z</w: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Z—</w:t>
            </w:r>
            <w:r>
              <w:rPr>
                <w:rFonts w:hint="eastAsia" w:ascii="宋体" w:cs="宋体"/>
                <w:kern w:val="0"/>
                <w:szCs w:val="21"/>
              </w:rPr>
              <w:t>采暖期天数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4" w:name="Z"/>
            <w:r>
              <w:t>42.00</w:t>
            </w:r>
            <w:bookmarkEnd w:id="14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应符合本规范附录三附表3.1的规定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r>
              <w:rPr>
                <w:position w:val="-10"/>
              </w:rPr>
              <w:object>
                <v:shape id="_x0000_i1059" o:spt="75" type="#_x0000_t75" style="height:12.75pt;width:1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56">
                  <o:LockedField>false</o:LockedField>
                </o:OLEObject>
              </w:object>
            </w:r>
          </w:p>
        </w:tc>
        <w:tc>
          <w:tcPr>
            <w:tcW w:w="50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10"/>
              </w:rPr>
              <w:object>
                <v:shape id="_x0000_i1060" o:spt="75" type="#_x0000_t75" style="height:12.75pt;width:1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57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保温材料的干密度(kg/m3)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5" w:name="ρ"/>
            <w:r>
              <w:t>28.50</w:t>
            </w:r>
            <w:bookmarkEnd w:id="15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</w:tcPr>
          <w:p>
            <w:r>
              <w:rPr>
                <w:position w:val="-6"/>
              </w:rPr>
              <w:object>
                <v:shape id="_x0000_i1061" o:spt="75" type="#_x0000_t75" style="height:14.25pt;width:12.7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58">
                  <o:LockedField>false</o:LockedField>
                </o:OLEObject>
              </w:object>
            </w:r>
          </w:p>
        </w:tc>
        <w:tc>
          <w:tcPr>
            <w:tcW w:w="5040" w:type="dxa"/>
          </w:tcPr>
          <w:p>
            <w:pPr>
              <w:rPr>
                <w:rFonts w:hint="eastAsia"/>
              </w:rPr>
            </w:pPr>
            <w:r>
              <w:rPr>
                <w:position w:val="-6"/>
              </w:rPr>
              <w:object>
                <v:shape id="_x0000_i1062" o:spt="75" type="#_x0000_t75" style="height:14.25pt;width:12.7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5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6" w:name="δi"/>
            <w:r>
              <w:t>0.06</w:t>
            </w:r>
            <w:bookmarkEnd w:id="16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0" w:type="dxa"/>
            <w:gridSpan w:val="4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（三）围护结构内部冷凝受潮验算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r>
              <w:rPr>
                <w:position w:val="-28"/>
              </w:rPr>
              <w:object>
                <v:shape id="_x0000_i1063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63" r:id="rId60">
                  <o:LockedField>false</o:LockedField>
                </o:OLEObject>
              </w:object>
            </w:r>
          </w:p>
        </w:tc>
        <w:tc>
          <w:tcPr>
            <w:tcW w:w="5040" w:type="dxa"/>
            <w:vAlign w:val="center"/>
          </w:tcPr>
          <w:p>
            <w:r>
              <w:rPr>
                <w:position w:val="-10"/>
              </w:rPr>
              <w:object>
                <v:shape id="_x0000_i1064" o:spt="75" type="#_x0000_t75" style="height:15.75pt;width:24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4" r:id="rId61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17" w:name="ω_l"/>
            <w:r>
              <w:t>0.00</w:t>
            </w:r>
            <w:bookmarkEnd w:id="17"/>
          </w:p>
        </w:tc>
        <w:tc>
          <w:tcPr>
            <w:tcW w:w="450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18" w:name="ω"/>
            <w:r>
              <w:t>2.00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0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（十）结论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500" w:type="dxa"/>
            <w:gridSpan w:val="4"/>
          </w:tcPr>
          <w:p>
            <w:pPr>
              <w:rPr>
                <w:rFonts w:hint="eastAsia"/>
                <w:b/>
              </w:rPr>
            </w:pPr>
            <w:bookmarkStart w:id="19" w:name="OK"/>
            <w:r>
              <w:rPr>
                <w:rFonts w:hint="eastAsia"/>
                <w:b/>
              </w:rPr>
              <w:t>满足</w:t>
            </w:r>
            <w:bookmarkEnd w:id="19"/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6838" w:h="11906" w:orient="landscape"/>
      <w:pgMar w:top="1091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45"/>
    <w:rsid w:val="00006B6F"/>
    <w:rsid w:val="0000769E"/>
    <w:rsid w:val="00012F68"/>
    <w:rsid w:val="00014DB8"/>
    <w:rsid w:val="00042D27"/>
    <w:rsid w:val="00042FAF"/>
    <w:rsid w:val="000571B1"/>
    <w:rsid w:val="00072606"/>
    <w:rsid w:val="00075D28"/>
    <w:rsid w:val="00090856"/>
    <w:rsid w:val="000A2E66"/>
    <w:rsid w:val="000B176F"/>
    <w:rsid w:val="000B701F"/>
    <w:rsid w:val="000B7039"/>
    <w:rsid w:val="000E4E4E"/>
    <w:rsid w:val="000F48DF"/>
    <w:rsid w:val="000F5B88"/>
    <w:rsid w:val="001009AE"/>
    <w:rsid w:val="00117F3E"/>
    <w:rsid w:val="001577F0"/>
    <w:rsid w:val="001611A7"/>
    <w:rsid w:val="00161E2D"/>
    <w:rsid w:val="00162EF0"/>
    <w:rsid w:val="00171BFE"/>
    <w:rsid w:val="0017677D"/>
    <w:rsid w:val="00184C94"/>
    <w:rsid w:val="00186508"/>
    <w:rsid w:val="0019614D"/>
    <w:rsid w:val="001A387C"/>
    <w:rsid w:val="001B7877"/>
    <w:rsid w:val="001E4004"/>
    <w:rsid w:val="001F3390"/>
    <w:rsid w:val="001F4F6C"/>
    <w:rsid w:val="0024070B"/>
    <w:rsid w:val="00240EC2"/>
    <w:rsid w:val="0027727F"/>
    <w:rsid w:val="002B2C77"/>
    <w:rsid w:val="002D6B2F"/>
    <w:rsid w:val="002E1B9B"/>
    <w:rsid w:val="0030652E"/>
    <w:rsid w:val="003200B7"/>
    <w:rsid w:val="00332516"/>
    <w:rsid w:val="003344E6"/>
    <w:rsid w:val="00345E18"/>
    <w:rsid w:val="00347F24"/>
    <w:rsid w:val="00376607"/>
    <w:rsid w:val="00377277"/>
    <w:rsid w:val="003B6F8A"/>
    <w:rsid w:val="003C2C73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91C89"/>
    <w:rsid w:val="00495EFD"/>
    <w:rsid w:val="004B1BD3"/>
    <w:rsid w:val="004B2B00"/>
    <w:rsid w:val="004B5CEB"/>
    <w:rsid w:val="004C2C08"/>
    <w:rsid w:val="004C416D"/>
    <w:rsid w:val="004C772F"/>
    <w:rsid w:val="004C7C6B"/>
    <w:rsid w:val="004D29C2"/>
    <w:rsid w:val="004E53B8"/>
    <w:rsid w:val="005012CD"/>
    <w:rsid w:val="0050552D"/>
    <w:rsid w:val="00517E63"/>
    <w:rsid w:val="0054622F"/>
    <w:rsid w:val="00546897"/>
    <w:rsid w:val="00560157"/>
    <w:rsid w:val="00567B03"/>
    <w:rsid w:val="005734B3"/>
    <w:rsid w:val="00574037"/>
    <w:rsid w:val="005A30A0"/>
    <w:rsid w:val="005A4C09"/>
    <w:rsid w:val="005B01B5"/>
    <w:rsid w:val="005B73FD"/>
    <w:rsid w:val="005E215F"/>
    <w:rsid w:val="00601C56"/>
    <w:rsid w:val="00606705"/>
    <w:rsid w:val="006134C5"/>
    <w:rsid w:val="00635CEC"/>
    <w:rsid w:val="0063600F"/>
    <w:rsid w:val="00640D3D"/>
    <w:rsid w:val="00673F68"/>
    <w:rsid w:val="00674D10"/>
    <w:rsid w:val="00685502"/>
    <w:rsid w:val="00693E06"/>
    <w:rsid w:val="006C2E11"/>
    <w:rsid w:val="006C56DD"/>
    <w:rsid w:val="006E0F6C"/>
    <w:rsid w:val="006E678B"/>
    <w:rsid w:val="0071259B"/>
    <w:rsid w:val="007171C5"/>
    <w:rsid w:val="00721641"/>
    <w:rsid w:val="00730C7D"/>
    <w:rsid w:val="007543D9"/>
    <w:rsid w:val="00762CFD"/>
    <w:rsid w:val="00772865"/>
    <w:rsid w:val="00777E12"/>
    <w:rsid w:val="00797A21"/>
    <w:rsid w:val="007A09EA"/>
    <w:rsid w:val="007A7477"/>
    <w:rsid w:val="007B43E2"/>
    <w:rsid w:val="007C04EA"/>
    <w:rsid w:val="007C13FF"/>
    <w:rsid w:val="007D442D"/>
    <w:rsid w:val="00804FEA"/>
    <w:rsid w:val="0083156B"/>
    <w:rsid w:val="00841D90"/>
    <w:rsid w:val="00843DEA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F04DC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85896"/>
    <w:rsid w:val="00990A5C"/>
    <w:rsid w:val="009A5331"/>
    <w:rsid w:val="009B0725"/>
    <w:rsid w:val="009B3DE3"/>
    <w:rsid w:val="009D11E5"/>
    <w:rsid w:val="009D2B26"/>
    <w:rsid w:val="009E761F"/>
    <w:rsid w:val="00A0563B"/>
    <w:rsid w:val="00A32761"/>
    <w:rsid w:val="00A351F6"/>
    <w:rsid w:val="00A454B0"/>
    <w:rsid w:val="00A57369"/>
    <w:rsid w:val="00A64605"/>
    <w:rsid w:val="00A906F7"/>
    <w:rsid w:val="00A924CF"/>
    <w:rsid w:val="00A92962"/>
    <w:rsid w:val="00A97E4F"/>
    <w:rsid w:val="00AA656C"/>
    <w:rsid w:val="00AB03BE"/>
    <w:rsid w:val="00AB713E"/>
    <w:rsid w:val="00AB7A40"/>
    <w:rsid w:val="00AE0113"/>
    <w:rsid w:val="00AF1110"/>
    <w:rsid w:val="00B06145"/>
    <w:rsid w:val="00B12132"/>
    <w:rsid w:val="00B16E92"/>
    <w:rsid w:val="00B227E6"/>
    <w:rsid w:val="00B35129"/>
    <w:rsid w:val="00B5734A"/>
    <w:rsid w:val="00B63B08"/>
    <w:rsid w:val="00B658C0"/>
    <w:rsid w:val="00B8711B"/>
    <w:rsid w:val="00BA0784"/>
    <w:rsid w:val="00BA0B17"/>
    <w:rsid w:val="00BA56E7"/>
    <w:rsid w:val="00BC7076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92C5B"/>
    <w:rsid w:val="00C950E1"/>
    <w:rsid w:val="00CC3455"/>
    <w:rsid w:val="00CE509A"/>
    <w:rsid w:val="00D008BF"/>
    <w:rsid w:val="00D03943"/>
    <w:rsid w:val="00D45640"/>
    <w:rsid w:val="00D47A95"/>
    <w:rsid w:val="00D528E7"/>
    <w:rsid w:val="00D562E0"/>
    <w:rsid w:val="00D60BFB"/>
    <w:rsid w:val="00D772A9"/>
    <w:rsid w:val="00D92A2B"/>
    <w:rsid w:val="00DA7566"/>
    <w:rsid w:val="00DC2299"/>
    <w:rsid w:val="00E0221C"/>
    <w:rsid w:val="00E138F9"/>
    <w:rsid w:val="00E26A44"/>
    <w:rsid w:val="00E273C9"/>
    <w:rsid w:val="00E3077E"/>
    <w:rsid w:val="00E309AF"/>
    <w:rsid w:val="00E35757"/>
    <w:rsid w:val="00E461BA"/>
    <w:rsid w:val="00E47CA8"/>
    <w:rsid w:val="00E550E9"/>
    <w:rsid w:val="00E62CAB"/>
    <w:rsid w:val="00E631B6"/>
    <w:rsid w:val="00EA5041"/>
    <w:rsid w:val="00EA67B5"/>
    <w:rsid w:val="00EB1894"/>
    <w:rsid w:val="00EB4739"/>
    <w:rsid w:val="00EC0097"/>
    <w:rsid w:val="00ED53F8"/>
    <w:rsid w:val="00EE1B15"/>
    <w:rsid w:val="00EF3F30"/>
    <w:rsid w:val="00F0466A"/>
    <w:rsid w:val="00F11D8A"/>
    <w:rsid w:val="00F2136F"/>
    <w:rsid w:val="00F2650F"/>
    <w:rsid w:val="00F32A1B"/>
    <w:rsid w:val="00F579EF"/>
    <w:rsid w:val="00F94530"/>
    <w:rsid w:val="00F94707"/>
    <w:rsid w:val="00F951D3"/>
    <w:rsid w:val="00FB2E10"/>
    <w:rsid w:val="00FB4EEB"/>
    <w:rsid w:val="00FC25B1"/>
    <w:rsid w:val="00FC29E3"/>
    <w:rsid w:val="00FC41F8"/>
    <w:rsid w:val="00FE48A4"/>
    <w:rsid w:val="00FF517B"/>
    <w:rsid w:val="00FF5295"/>
    <w:rsid w:val="00FF6537"/>
    <w:rsid w:val="0418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3" Type="http://schemas.openxmlformats.org/officeDocument/2006/relationships/fontTable" Target="fontTable.xml"/><Relationship Id="rId62" Type="http://schemas.openxmlformats.org/officeDocument/2006/relationships/customXml" Target="../customXml/item1.xml"/><Relationship Id="rId61" Type="http://schemas.openxmlformats.org/officeDocument/2006/relationships/oleObject" Target="embeddings/oleObject40.bin"/><Relationship Id="rId60" Type="http://schemas.openxmlformats.org/officeDocument/2006/relationships/oleObject" Target="embeddings/oleObject39.bin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38.bin"/><Relationship Id="rId58" Type="http://schemas.openxmlformats.org/officeDocument/2006/relationships/oleObject" Target="embeddings/oleObject37.bin"/><Relationship Id="rId57" Type="http://schemas.openxmlformats.org/officeDocument/2006/relationships/oleObject" Target="embeddings/oleObject36.bin"/><Relationship Id="rId56" Type="http://schemas.openxmlformats.org/officeDocument/2006/relationships/oleObject" Target="embeddings/oleObject35.bin"/><Relationship Id="rId55" Type="http://schemas.openxmlformats.org/officeDocument/2006/relationships/oleObject" Target="embeddings/oleObject34.bin"/><Relationship Id="rId54" Type="http://schemas.openxmlformats.org/officeDocument/2006/relationships/oleObject" Target="embeddings/oleObject33.bin"/><Relationship Id="rId53" Type="http://schemas.openxmlformats.org/officeDocument/2006/relationships/oleObject" Target="embeddings/oleObject32.bin"/><Relationship Id="rId52" Type="http://schemas.openxmlformats.org/officeDocument/2006/relationships/oleObject" Target="embeddings/oleObject31.bin"/><Relationship Id="rId51" Type="http://schemas.openxmlformats.org/officeDocument/2006/relationships/oleObject" Target="embeddings/oleObject30.bin"/><Relationship Id="rId50" Type="http://schemas.openxmlformats.org/officeDocument/2006/relationships/oleObject" Target="embeddings/oleObject29.bin"/><Relationship Id="rId5" Type="http://schemas.openxmlformats.org/officeDocument/2006/relationships/image" Target="media/image1.wmf"/><Relationship Id="rId49" Type="http://schemas.openxmlformats.org/officeDocument/2006/relationships/oleObject" Target="embeddings/oleObject28.bin"/><Relationship Id="rId48" Type="http://schemas.openxmlformats.org/officeDocument/2006/relationships/oleObject" Target="embeddings/oleObject27.bin"/><Relationship Id="rId47" Type="http://schemas.openxmlformats.org/officeDocument/2006/relationships/oleObject" Target="embeddings/oleObject26.bin"/><Relationship Id="rId46" Type="http://schemas.openxmlformats.org/officeDocument/2006/relationships/oleObject" Target="embeddings/oleObject25.bin"/><Relationship Id="rId45" Type="http://schemas.openxmlformats.org/officeDocument/2006/relationships/oleObject" Target="embeddings/oleObject24.bin"/><Relationship Id="rId44" Type="http://schemas.openxmlformats.org/officeDocument/2006/relationships/oleObject" Target="embeddings/oleObject23.bin"/><Relationship Id="rId43" Type="http://schemas.openxmlformats.org/officeDocument/2006/relationships/image" Target="media/image18.wmf"/><Relationship Id="rId42" Type="http://schemas.openxmlformats.org/officeDocument/2006/relationships/oleObject" Target="embeddings/oleObject22.bin"/><Relationship Id="rId41" Type="http://schemas.openxmlformats.org/officeDocument/2006/relationships/oleObject" Target="embeddings/oleObject21.bin"/><Relationship Id="rId40" Type="http://schemas.openxmlformats.org/officeDocument/2006/relationships/image" Target="media/image17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0.bin"/><Relationship Id="rId38" Type="http://schemas.openxmlformats.org/officeDocument/2006/relationships/oleObject" Target="embeddings/oleObject19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8.bin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1754</Characters>
  <Lines>14</Lines>
  <Paragraphs>4</Paragraphs>
  <TotalTime>1</TotalTime>
  <ScaleCrop>false</ScaleCrop>
  <LinksUpToDate>false</LinksUpToDate>
  <CharactersWithSpaces>2057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2019-08-08T01:55:00Z</dcterms:created>
  <dc:creator>2438</dc:creator>
  <cp:lastModifiedBy>恒</cp:lastModifiedBy>
  <dcterms:modified xsi:type="dcterms:W3CDTF">2019-08-10T10:12:11Z</dcterms:modified>
  <dc:title>围护结构内表面最高温度计算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2052-11.1.0.8894</vt:lpwstr>
  </property>
</Properties>
</file>