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body>
    <w:p>
      <w:pPr>
        <w:jc w:val="center"/>
      </w:pPr>
      <w:r>
        <w:rPr>
          <w:rFonts w:hint="eastAsia" w:ascii="宋体" w:hAnsi="宋体"/>
          <w:b/>
          <w:bCs/>
          <w:color w:val="000000"/>
          <w:sz w:val="28"/>
          <w:szCs w:val="28"/>
        </w:rPr>
        <w:t/>
      </w:r>
    </w:p>
    <w:p>
      <w:pPr>
        <w:jc w:val="center"/>
      </w:pPr>
      <w:r>
        <w:rPr>
          <w:rFonts w:hint="eastAsia" w:ascii="宋体" w:hAnsi="宋体"/>
          <w:b/>
          <w:bCs/>
          <w:color w:val="000000"/>
          <w:sz w:val="44"/>
          <w:szCs w:val="44"/>
        </w:rPr>
        <w:t>绿 色 建 筑 预 评 价</w:t>
      </w:r>
    </w:p>
    <w:p>
      <w:pPr>
        <w:jc w:val="center"/>
      </w:pPr>
      <w:r>
        <w:rPr>
          <w:rFonts w:hint="eastAsia" w:ascii="宋体" w:hAnsi="宋体"/>
          <w:b/>
          <w:bCs/>
          <w:color w:val="000000"/>
          <w:sz w:val="44"/>
          <w:szCs w:val="44"/>
        </w:rPr>
        <w:t>自评估报告</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3000" w:type="dxa"/>
            <w:vAlign w:val="center"/>
          </w:tcPr>
          <w:p>
            <w:pPr>
              <w:spacing w:before="200" w:after="200" w:lineRule="auto"/>
              <w:jc w:val="left"/>
            </w:pPr>
            <w:r>
              <w:rPr>
                <w:rFonts w:hint="eastAsia" w:ascii="宋体" w:hAnsi="宋体"/>
                <w:bCs/>
                <w:color w:val="000000"/>
                <w:sz w:val="30"/>
                <w:szCs w:val="30"/>
              </w:rPr>
              <w:t>申报项目名称：</w:t>
            </w:r>
          </w:p>
        </w:tc>
        <w:tc>
          <w:tcPr>
            <w:tcW w:w="2000" w:type="dxa"/>
            <w:hMerge w:val="restart"/>
            <w:vAlign w:val="center"/>
          </w:tcPr>
          <w:p>
            <w:pPr>
              <w:spacing w:before="200" w:after="200" w:lineRule="auto"/>
              <w:jc w:val="left"/>
            </w:pPr>
            <w:r>
              <w:rPr>
                <w:rFonts w:hint="eastAsia" w:ascii="宋体" w:hAnsi="宋体"/>
                <w:bCs/>
                <w:color w:val="000000"/>
                <w:sz w:val="30"/>
                <w:szCs w:val="30"/>
              </w:rPr>
              <w:t>桑阴·稚园</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申报单位名称：</w:t>
            </w:r>
          </w:p>
        </w:tc>
        <w:tc>
          <w:tcPr>
            <w:tcW w:w="2000" w:type="dxa"/>
            <w:hMerge w:val="restart"/>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建筑类型：</w:t>
            </w:r>
          </w:p>
        </w:tc>
        <w:tc>
          <w:tcPr>
            <w:tcW w:w="2000" w:type="dxa"/>
            <w:hMerge w:val="restart"/>
            <w:vAlign w:val="center"/>
          </w:tcPr>
          <w:p>
            <w:pPr>
              <w:spacing w:before="200" w:after="200" w:lineRule="auto"/>
              <w:jc w:val="left"/>
            </w:pPr>
            <w:r>
              <w:rPr>
                <w:rFonts w:hint="eastAsia" w:ascii="宋体" w:hAnsi="宋体"/>
                <w:bCs/>
                <w:color w:val="000000"/>
                <w:sz w:val="30"/>
                <w:szCs w:val="30"/>
              </w:rPr>
              <w:t>公共建筑</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自评星级：</w:t>
            </w:r>
          </w:p>
        </w:tc>
        <w:tc>
          <w:tcPr>
            <w:tcW w:w="2000" w:type="dxa"/>
            <w:vAlign w:val="center"/>
          </w:tcPr>
          <w:p>
            <w:pPr>
              <w:spacing w:before="200" w:after="200" w:lineRule="auto"/>
              <w:jc w:val="left"/>
            </w:pPr>
            <w:r>
              <w:rPr>
                <w:rFonts w:hint="eastAsia" w:ascii="宋体" w:hAnsi="宋体"/>
                <w:bCs/>
                <w:color w:val="000000"/>
                <w:sz w:val="30"/>
                <w:szCs w:val="30"/>
              </w:rPr>
              <w:t>★★★</w:t>
            </w:r>
          </w:p>
        </w:tc>
        <w:tc>
          <w:tcPr>
            <w:tcW w:w="2000" w:type="dxa"/>
            <w:vAlign w:val="center"/>
          </w:tcPr>
          <w:p>
            <w:pPr>
              <w:spacing w:before="200" w:after="200" w:lineRule="auto"/>
              <w:jc w:val="left"/>
            </w:pPr>
            <w:r>
              <w:rPr>
                <w:rFonts w:hint="eastAsia" w:ascii="宋体" w:hAnsi="宋体"/>
                <w:bCs/>
                <w:color w:val="000000"/>
                <w:sz w:val="30"/>
                <w:szCs w:val="30"/>
              </w:rPr>
              <w:t>分数：</w:t>
            </w:r>
          </w:p>
        </w:tc>
        <w:tc>
          <w:tcPr>
            <w:tcW w:w="2000" w:type="dxa"/>
            <w:vAlign w:val="center"/>
          </w:tcPr>
          <w:p>
            <w:pPr>
              <w:spacing w:before="200" w:after="200" w:lineRule="auto"/>
              <w:jc w:val="left"/>
            </w:pPr>
            <w:r>
              <w:rPr>
                <w:rFonts w:hint="eastAsia" w:ascii="宋体" w:hAnsi="宋体"/>
                <w:bCs/>
                <w:color w:val="000000"/>
                <w:sz w:val="30"/>
                <w:szCs w:val="30"/>
              </w:rPr>
              <w:t>0.0</w:t>
            </w:r>
          </w:p>
        </w:tc>
      </w:tr>
      <w:tr>
        <w:tc>
          <w:tcPr>
            <w:tcW w:w="3000" w:type="dxa"/>
            <w:vAlign w:val="center"/>
          </w:tcPr>
          <w:p>
            <w:pPr>
              <w:spacing w:before="200" w:after="200" w:lineRule="auto"/>
              <w:jc w:val="left"/>
            </w:pPr>
            <w:r>
              <w:rPr>
                <w:rFonts w:hint="eastAsia" w:ascii="宋体" w:hAnsi="宋体"/>
                <w:bCs/>
                <w:color w:val="000000"/>
                <w:sz w:val="30"/>
                <w:szCs w:val="30"/>
              </w:rPr>
              <w:t>自评依据：</w:t>
            </w:r>
          </w:p>
        </w:tc>
        <w:tc>
          <w:tcPr>
            <w:tcW w:w="2000" w:type="dxa"/>
            <w:hMerge w:val="restart"/>
            <w:vAlign w:val="center"/>
          </w:tcPr>
          <w:p>
            <w:pPr>
              <w:spacing w:before="200" w:after="200" w:lineRule="auto"/>
              <w:jc w:val="left"/>
            </w:pPr>
            <w:r>
              <w:rPr>
                <w:rFonts w:hint="eastAsia" w:ascii="宋体" w:hAnsi="宋体"/>
                <w:bCs/>
                <w:color w:val="000000"/>
                <w:sz w:val="30"/>
                <w:szCs w:val="30"/>
              </w:rPr>
              <w:t>《绿色建筑评价标准》GB/T 50378-2019</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bl>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2"/>
          <w:szCs w:val="32"/>
        </w:rPr>
        <w:t>江苏省住房和城乡建设厅科技发展中心</w:t>
      </w:r>
    </w:p>
    <w:p>
      <w:pPr>
        <w:jc w:val="center"/>
      </w:pPr>
      <w:r>
        <w:rPr>
          <w:rFonts w:hint="eastAsia" w:ascii="宋体" w:hAnsi="宋体"/>
          <w:b/>
          <w:bCs/>
          <w:color w:val="000000"/>
          <w:sz w:val="32"/>
          <w:szCs w:val="32"/>
        </w:rPr>
        <w:t>2021年9月</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6"/>
          <w:szCs w:val="36"/>
        </w:rPr>
        <w:t>填写说明</w:t>
      </w:r>
    </w:p>
    <w:p>
      <w:pPr>
        <w:jc w:val="left"/>
      </w:pPr>
      <w:r>
        <w:rPr>
          <w:rFonts w:hint="eastAsia" w:ascii="宋体" w:hAnsi="宋体"/>
          <w:bCs/>
          <w:color w:val="000000"/>
          <w:sz w:val="30"/>
          <w:szCs w:val="30"/>
        </w:rPr>
        <w:t>1、	本报告用于申请绿色建筑设计评价标识，由申报单位填写；</w:t>
      </w:r>
    </w:p>
    <w:p>
      <w:pPr>
        <w:jc w:val="left"/>
      </w:pPr>
      <w:r>
        <w:rPr>
          <w:rFonts w:hint="eastAsia" w:ascii="宋体" w:hAnsi="宋体"/>
          <w:bCs/>
          <w:color w:val="000000"/>
          <w:sz w:val="30"/>
          <w:szCs w:val="30"/>
        </w:rPr>
        <w:t>2、	 “得分自评”项的填写方式：在自评得分分类对应的表格中，填写符合项目情况的得分，不达标的条文，自评得分填写“0”；不参评的条文填写“不参评”，注明理由，并在“实际提交材料”中提供证明材料，其得分处理方式按相关规定执行；</w:t>
      </w:r>
    </w:p>
    <w:p>
      <w:pPr>
        <w:jc w:val="left"/>
      </w:pPr>
      <w:r>
        <w:rPr>
          <w:rFonts w:hint="eastAsia" w:ascii="宋体" w:hAnsi="宋体"/>
          <w:bCs/>
          <w:color w:val="000000"/>
          <w:sz w:val="30"/>
          <w:szCs w:val="30"/>
        </w:rPr>
        <w:t>3、	“实际提交材料”中列表填写对应条文实际提交的材料的全称、查阅路径；</w:t>
      </w:r>
    </w:p>
    <w:p>
      <w:pPr>
        <w:jc w:val="left"/>
      </w:pPr>
      <w:r>
        <w:rPr>
          <w:rFonts w:hint="eastAsia" w:ascii="宋体" w:hAnsi="宋体"/>
          <w:bCs/>
          <w:color w:val="000000"/>
          <w:sz w:val="30"/>
          <w:szCs w:val="30"/>
        </w:rPr>
        <w:t>4、	填写本报告时，可进行编辑性修改，但不应自行删除技术内容和要求。</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一、自评总述</w:t>
      </w:r>
    </w:p>
    <w:p>
      <w:pPr>
        <w:jc w:val="left"/>
      </w:pPr>
      <w:r>
        <w:rPr>
          <w:rFonts w:hint="eastAsia" w:ascii="宋体" w:hAnsi="宋体"/>
          <w:bCs/>
          <w:color w:val="000000"/>
          <w:sz w:val="24"/>
          <w:szCs w:val="24"/>
        </w:rPr>
        <w:t xml:space="preserve">     项目控制项全部达标，满足3.2.8条中绿色建筑技术要求，同时总得分达到60分、70分、85分时，绿色建筑等级  分别为一星级、二星级、三星级。经自评估，本项目的控制项全部达标，绿色建筑技术要求满足　3　星级要求且每类指标评分项得分不小于其评分项的满分值的30%（见表1），评分项与加分项的加权总得分达到　3　星级的标准。各章节得分情况见表2：</w:t>
      </w:r>
    </w:p>
    <w:p>
      <w:pPr>
        <w:jc w:val="center"/>
      </w:pPr>
      <w:r>
        <w:rPr>
          <w:rFonts w:hint="eastAsia" w:ascii="宋体" w:hAnsi="宋体"/>
          <w:bCs/>
          <w:color w:val="000000"/>
          <w:sz w:val="24"/>
          <w:szCs w:val="24"/>
        </w:rPr>
        <w:t>表1 GB/T 50378表3.2.8</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2600" w:type="dxa"/>
            <w:shd w:color="auto" w:fill="D9D9D9"/>
            <w:vAlign w:val="center"/>
          </w:tcPr>
          <w:p>
            <w:pPr>
              <w:spacing w:before="0" w:after="3" w:lineRule="auto"/>
              <w:jc w:val="center"/>
            </w:pPr>
            <w:r>
              <w:rPr>
                <w:rFonts w:hint="eastAsia" w:ascii="宋体" w:hAnsi="宋体"/>
                <w:bCs/>
                <w:color w:val="000000"/>
                <w:sz w:val="22"/>
                <w:szCs w:val="22"/>
              </w:rPr>
              <w:t>-</w:t>
            </w:r>
          </w:p>
        </w:tc>
        <w:tc>
          <w:tcPr>
            <w:tcW w:w="2300" w:type="dxa"/>
            <w:shd w:color="auto" w:fill="D9D9D9"/>
            <w:vAlign w:val="center"/>
          </w:tcPr>
          <w:p>
            <w:pPr>
              <w:spacing w:before="0" w:after="3" w:lineRule="auto"/>
              <w:jc w:val="center"/>
            </w:pPr>
            <w:r>
              <w:rPr>
                <w:rFonts w:hint="eastAsia" w:ascii="宋体" w:hAnsi="宋体"/>
                <w:bCs/>
                <w:color w:val="000000"/>
                <w:sz w:val="22"/>
                <w:szCs w:val="22"/>
              </w:rPr>
              <w:t>一星级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二星级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三星级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自评情况</w:t>
            </w:r>
          </w:p>
        </w:tc>
      </w:tr>
      <w:tr>
        <w:tc>
          <w:tcPr>
            <w:tcW w:w="2600" w:type="dxa"/>
            <w:shd w:color="auto" w:fill="D9D9D9"/>
            <w:vAlign w:val="center"/>
          </w:tcPr>
          <w:p>
            <w:pPr>
              <w:spacing w:before="0" w:after="3" w:lineRule="auto"/>
              <w:jc w:val="center"/>
            </w:pPr>
            <w:r>
              <w:rPr>
                <w:rFonts w:hint="eastAsia" w:ascii="宋体" w:hAnsi="宋体"/>
                <w:bCs/>
                <w:color w:val="000000"/>
                <w:sz w:val="22"/>
                <w:szCs w:val="22"/>
              </w:rPr>
              <w:t>采用全装修</w:t>
            </w:r>
          </w:p>
        </w:tc>
        <w:tc>
          <w:tcPr>
            <w:tcW w:w="2300" w:type="dxa"/>
            <w:hMerge w:val="restart"/>
            <w:vAlign w:val="center"/>
          </w:tcPr>
          <w:p>
            <w:pPr>
              <w:spacing w:before="0" w:after="3" w:lineRule="auto"/>
              <w:jc w:val="center"/>
            </w:pPr>
            <w:r>
              <w:rPr>
                <w:rFonts w:hint="eastAsia" w:ascii="宋体" w:hAnsi="宋体"/>
                <w:bCs/>
                <w:color w:val="000000"/>
                <w:sz w:val="22"/>
                <w:szCs w:val="22"/>
              </w:rPr>
              <w:t>一星级、二星级、三星级3个等级的绿色建筑均应进行全装修</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围护结构热工性能的提高比例，或建筑供暖空调负荷降低比例</w:t>
            </w:r>
          </w:p>
        </w:tc>
        <w:tc>
          <w:tcPr>
            <w:tcW w:w="1200" w:type="dxa"/>
            <w:vAlign w:val="center"/>
          </w:tcPr>
          <w:p>
            <w:pPr>
              <w:spacing w:before="0" w:after="3" w:lineRule="auto"/>
              <w:jc w:val="center"/>
            </w:pPr>
            <w:r>
              <w:rPr>
                <w:rFonts w:hint="eastAsia" w:ascii="宋体" w:hAnsi="宋体"/>
                <w:bCs/>
                <w:color w:val="000000"/>
                <w:sz w:val="22"/>
                <w:szCs w:val="22"/>
              </w:rPr>
              <w:t>围护结构提高5%，或负荷降低5%</w:t>
            </w:r>
          </w:p>
        </w:tc>
        <w:tc>
          <w:tcPr>
            <w:tcW w:w="1200" w:type="dxa"/>
            <w:vAlign w:val="center"/>
          </w:tcPr>
          <w:p>
            <w:pPr>
              <w:spacing w:before="0" w:after="3" w:lineRule="auto"/>
              <w:jc w:val="center"/>
            </w:pPr>
            <w:r>
              <w:rPr>
                <w:rFonts w:hint="eastAsia" w:ascii="宋体" w:hAnsi="宋体"/>
                <w:bCs/>
                <w:color w:val="000000"/>
                <w:sz w:val="22"/>
                <w:szCs w:val="22"/>
              </w:rPr>
              <w:t>围护结构提高10%，或负荷降低10%</w:t>
            </w:r>
          </w:p>
        </w:tc>
        <w:tc>
          <w:tcPr>
            <w:tcW w:w="1200" w:type="dxa"/>
            <w:vAlign w:val="center"/>
          </w:tcPr>
          <w:p>
            <w:pPr>
              <w:spacing w:before="0" w:after="3" w:lineRule="auto"/>
              <w:jc w:val="center"/>
            </w:pPr>
            <w:r>
              <w:rPr>
                <w:rFonts w:hint="eastAsia" w:ascii="宋体" w:hAnsi="宋体"/>
                <w:bCs/>
                <w:color w:val="000000"/>
                <w:sz w:val="22"/>
                <w:szCs w:val="22"/>
              </w:rPr>
              <w:t>围护结构提高20%，或负荷降低15%</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严寒和寒冷地区住宅建筑外窗传热系数降低比例</w:t>
            </w:r>
          </w:p>
        </w:tc>
        <w:tc>
          <w:tcPr>
            <w:tcW w:w="1200" w:type="dxa"/>
            <w:vAlign w:val="center"/>
          </w:tcPr>
          <w:p>
            <w:pPr>
              <w:spacing w:before="0" w:after="3" w:lineRule="auto"/>
              <w:jc w:val="center"/>
            </w:pPr>
            <w:r>
              <w:rPr>
                <w:rFonts w:hint="eastAsia" w:ascii="宋体" w:hAnsi="宋体"/>
                <w:bCs/>
                <w:color w:val="000000"/>
                <w:sz w:val="22"/>
                <w:szCs w:val="22"/>
              </w:rPr>
              <w:t>5%</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vAlign w:val="center"/>
          </w:tcPr>
          <w:p>
            <w:pPr>
              <w:spacing w:before="0" w:after="3" w:lineRule="auto"/>
              <w:jc w:val="center"/>
            </w:pPr>
            <w:r>
              <w:rPr>
                <w:rFonts w:hint="eastAsia" w:ascii="宋体" w:hAnsi="宋体"/>
                <w:bCs/>
                <w:color w:val="000000"/>
                <w:sz w:val="22"/>
                <w:szCs w:val="22"/>
              </w:rPr>
              <w:t>20%</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节水器具用水效率等级</w:t>
            </w:r>
          </w:p>
        </w:tc>
        <w:tc>
          <w:tcPr>
            <w:tcW w:w="1200" w:type="dxa"/>
            <w:vAlign w:val="center"/>
          </w:tcPr>
          <w:p>
            <w:pPr>
              <w:spacing w:before="0" w:after="3" w:lineRule="auto"/>
              <w:jc w:val="center"/>
            </w:pPr>
            <w:r>
              <w:rPr>
                <w:rFonts w:hint="eastAsia" w:ascii="宋体" w:hAnsi="宋体"/>
                <w:bCs/>
                <w:color w:val="000000"/>
                <w:sz w:val="22"/>
                <w:szCs w:val="22"/>
              </w:rPr>
              <w:t>3级</w:t>
            </w:r>
          </w:p>
        </w:tc>
        <w:tc>
          <w:tcPr>
            <w:tcW w:w="1200" w:type="dxa"/>
            <w:hMerge w:val="restart"/>
            <w:vAlign w:val="center"/>
          </w:tcPr>
          <w:p>
            <w:pPr>
              <w:spacing w:before="0" w:after="3" w:lineRule="auto"/>
              <w:jc w:val="center"/>
            </w:pPr>
            <w:r>
              <w:rPr>
                <w:rFonts w:hint="eastAsia" w:ascii="宋体" w:hAnsi="宋体"/>
                <w:bCs/>
                <w:color w:val="000000"/>
                <w:sz w:val="22"/>
                <w:szCs w:val="22"/>
              </w:rPr>
              <w:t>2级</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住宅建筑隔声性能</w:t>
            </w:r>
          </w:p>
        </w:tc>
        <w:tc>
          <w:tcPr>
            <w:tcW w:w="1200" w:type="dxa"/>
            <w:vAlign w:val="center"/>
          </w:tcPr>
          <w:p>
            <w:pPr>
              <w:spacing w:before="0" w:after="3" w:lineRule="auto"/>
              <w:jc w:val="center"/>
            </w:pPr>
            <w:r>
              <w:rPr>
                <w:rFonts w:hint="eastAsia" w:ascii="宋体" w:hAnsi="宋体"/>
                <w:bCs/>
                <w:color w:val="000000"/>
                <w:sz w:val="22"/>
                <w:szCs w:val="22"/>
              </w:rPr>
              <w:t>/</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室外与卧室之间、分户墙（楼板）两侧卧室之间的空气声隔声性能以及卧室楼板的撞击声隔声性能达到低限标准限值和高要求标准限值的平均值</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室外与卧室之间、分户墙（楼板）两侧卧室之间的空气声隔声性能以及卧室楼板的撞击声隔声性能达到高要求标准限值</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室内主要空气污染物浓度降低比例</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hMerge w:val="restart"/>
            <w:vAlign w:val="center"/>
          </w:tcPr>
          <w:p>
            <w:pPr>
              <w:spacing w:before="0" w:after="3" w:lineRule="auto"/>
              <w:jc w:val="center"/>
            </w:pPr>
            <w:r>
              <w:rPr>
                <w:rFonts w:hint="eastAsia" w:ascii="宋体" w:hAnsi="宋体"/>
                <w:bCs/>
                <w:color w:val="000000"/>
                <w:sz w:val="22"/>
                <w:szCs w:val="22"/>
              </w:rPr>
              <w:t>20%</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外窗气密性能</w:t>
            </w:r>
          </w:p>
        </w:tc>
        <w:tc>
          <w:tcPr>
            <w:tcW w:w="1200" w:type="dxa"/>
            <w:hMerge w:val="restart"/>
            <w:vAlign w:val="center"/>
          </w:tcPr>
          <w:p>
            <w:pPr>
              <w:spacing w:before="0" w:after="3" w:lineRule="auto"/>
              <w:jc w:val="center"/>
            </w:pPr>
            <w:r>
              <w:rPr>
                <w:rFonts w:hint="eastAsia" w:ascii="宋体" w:hAnsi="宋体"/>
                <w:bCs/>
                <w:color w:val="000000"/>
                <w:sz w:val="22"/>
                <w:szCs w:val="22"/>
              </w:rPr>
              <w:t>符合国家现行相关节能设计标准的规定，且外窗洞口与外窗本体的结合部位应严密</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bl>
    <w:p>
      <w:pPr>
        <w:jc w:val="left"/>
      </w:pPr>
      <w:r>
        <w:rPr>
          <w:rFonts w:hint="eastAsia" w:ascii="宋体" w:hAnsi="宋体"/>
          <w:bCs/>
          <w:color w:val="000000"/>
          <w:sz w:val="22"/>
          <w:szCs w:val="22"/>
        </w:rPr>
        <w:t xml:space="preserve">注：1 围护结构热工性能的提高基准、严寒和寒冷地区住宅建筑外窗传热系数降低基准均为国家现行相关建筑节能设计标准的要求。</w:t>
      </w:r>
    </w:p>
    <w:p>
      <w:pPr>
        <w:jc w:val="left"/>
      </w:pPr>
      <w:r>
        <w:rPr>
          <w:rFonts w:hint="eastAsia" w:ascii="宋体" w:hAnsi="宋体"/>
          <w:bCs/>
          <w:color w:val="000000"/>
          <w:sz w:val="22"/>
          <w:szCs w:val="22"/>
        </w:rPr>
        <w:t xml:space="preserve">   2 住宅建筑隔声性能对应的标准为现行国家标准《民用建筑隔声设计规范》GB 50118。</w:t>
      </w:r>
    </w:p>
    <w:p>
      <w:pPr>
        <w:jc w:val="left"/>
      </w:pPr>
      <w:r>
        <w:rPr>
          <w:rFonts w:hint="eastAsia" w:ascii="宋体" w:hAnsi="宋体"/>
          <w:bCs/>
          <w:color w:val="000000"/>
          <w:sz w:val="22"/>
          <w:szCs w:val="22"/>
        </w:rPr>
        <w:t xml:space="preserve">   3 室内主要空气污染物包括氨、甲醛、苯、总挥发性有机物、氡、可吸入颗粒物等，其浓度降低基准为现行国家标准《室内空气质量标准》GB/T 18883的有关要求。</w:t>
      </w:r>
    </w:p>
    <w:p>
      <w:br w:type="page"/>
    </w:p>
    <w:p>
      <w:pPr>
        <w:jc w:val="center"/>
      </w:pPr>
      <w:r>
        <w:rPr>
          <w:rFonts w:hint="eastAsia" w:ascii="宋体" w:hAnsi="宋体"/>
          <w:bCs/>
          <w:color w:val="000000"/>
          <w:sz w:val="20"/>
          <w:szCs w:val="20"/>
        </w:rPr>
        <w:t>表2项目自评得分情况</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900" w:type="dxa"/>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
                <w:bCs/>
                <w:color w:val="000000"/>
                <w:sz w:val="21"/>
                <w:szCs w:val="21"/>
              </w:rPr>
              <w:t>控制项基础分值 Q0</w:t>
            </w:r>
          </w:p>
        </w:tc>
        <w:tc>
          <w:tcPr>
            <w:tcW w:w="1900" w:type="dxa"/>
            <w:vAlign w:val="center"/>
          </w:tcPr>
          <w:p>
            <w:pPr>
              <w:spacing w:before="0" w:after="3" w:lineRule="auto"/>
              <w:jc w:val="center"/>
            </w:pPr>
            <w:r>
              <w:rPr>
                <w:rFonts w:hint="eastAsia" w:ascii="宋体" w:hAnsi="宋体"/>
                <w:b/>
                <w:bCs/>
                <w:color w:val="000000"/>
                <w:sz w:val="20"/>
                <w:szCs w:val="20"/>
              </w:rPr>
              <w:t>安全耐久Q1</w:t>
            </w:r>
          </w:p>
        </w:tc>
        <w:tc>
          <w:tcPr>
            <w:tcW w:w="1900" w:type="dxa"/>
            <w:vAlign w:val="center"/>
          </w:tcPr>
          <w:p>
            <w:pPr>
              <w:spacing w:before="0" w:after="3" w:lineRule="auto"/>
              <w:jc w:val="center"/>
            </w:pPr>
            <w:r>
              <w:rPr>
                <w:rFonts w:hint="eastAsia" w:ascii="宋体" w:hAnsi="宋体"/>
                <w:b/>
                <w:bCs/>
                <w:color w:val="000000"/>
                <w:sz w:val="20"/>
                <w:szCs w:val="20"/>
              </w:rPr>
              <w:t>健康舒适Q2</w:t>
            </w:r>
          </w:p>
        </w:tc>
        <w:tc>
          <w:tcPr>
            <w:tcW w:w="1900" w:type="dxa"/>
            <w:vAlign w:val="center"/>
          </w:tcPr>
          <w:p>
            <w:pPr>
              <w:spacing w:before="0" w:after="3" w:lineRule="auto"/>
              <w:jc w:val="center"/>
            </w:pPr>
            <w:r>
              <w:rPr>
                <w:rFonts w:hint="eastAsia" w:ascii="宋体" w:hAnsi="宋体"/>
                <w:b/>
                <w:bCs/>
                <w:color w:val="000000"/>
                <w:sz w:val="20"/>
                <w:szCs w:val="20"/>
              </w:rPr>
              <w:t>生活便利Q3</w:t>
            </w:r>
          </w:p>
        </w:tc>
        <w:tc>
          <w:tcPr>
            <w:tcW w:w="1900" w:type="dxa"/>
            <w:vAlign w:val="center"/>
          </w:tcPr>
          <w:p>
            <w:pPr>
              <w:spacing w:before="0" w:after="3" w:lineRule="auto"/>
              <w:jc w:val="center"/>
            </w:pPr>
            <w:r>
              <w:rPr>
                <w:rFonts w:hint="eastAsia" w:ascii="宋体" w:hAnsi="宋体"/>
                <w:b/>
                <w:bCs/>
                <w:color w:val="000000"/>
                <w:sz w:val="20"/>
                <w:szCs w:val="20"/>
              </w:rPr>
              <w:t>资源节约Q4</w:t>
            </w:r>
          </w:p>
        </w:tc>
        <w:tc>
          <w:tcPr>
            <w:tcW w:w="1900" w:type="dxa"/>
            <w:vAlign w:val="center"/>
          </w:tcPr>
          <w:p>
            <w:pPr>
              <w:spacing w:before="0" w:after="3" w:lineRule="auto"/>
              <w:jc w:val="center"/>
            </w:pPr>
            <w:r>
              <w:rPr>
                <w:rFonts w:hint="eastAsia" w:ascii="宋体" w:hAnsi="宋体"/>
                <w:b/>
                <w:bCs/>
                <w:color w:val="000000"/>
                <w:sz w:val="20"/>
                <w:szCs w:val="20"/>
              </w:rPr>
              <w:t>环境宜居Q5</w:t>
            </w:r>
          </w:p>
        </w:tc>
        <w:tc>
          <w:tcPr>
            <w:tcW w:w="1900" w:type="dxa"/>
            <w:vAlign w:val="center"/>
          </w:tcPr>
          <w:p>
            <w:pPr>
              <w:spacing w:before="0" w:after="3" w:lineRule="auto"/>
              <w:jc w:val="center"/>
            </w:pPr>
            <w:r>
              <w:rPr>
                <w:rFonts w:hint="eastAsia" w:ascii="宋体" w:hAnsi="宋体"/>
                <w:b/>
                <w:bCs/>
                <w:color w:val="000000"/>
                <w:sz w:val="21"/>
                <w:szCs w:val="21"/>
              </w:rPr>
              <w:t>加分项QA</w:t>
            </w:r>
          </w:p>
        </w:tc>
      </w:tr>
      <w:tr>
        <w:tc>
          <w:tcPr>
            <w:tcW w:w="1900" w:type="dxa"/>
            <w:vAlign w:val="center"/>
          </w:tcPr>
          <w:p>
            <w:pPr>
              <w:spacing w:before="0" w:after="3" w:lineRule="auto"/>
              <w:jc w:val="center"/>
            </w:pPr>
            <w:r>
              <w:rPr>
                <w:rFonts w:hint="eastAsia" w:ascii="宋体" w:hAnsi="宋体"/>
                <w:b/>
                <w:bCs/>
                <w:color w:val="000000"/>
                <w:sz w:val="24"/>
                <w:szCs w:val="24"/>
              </w:rPr>
              <w:t>预评价分值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70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自评得分</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100.0</w:t>
            </w:r>
          </w:p>
        </w:tc>
        <w:tc>
          <w:tcPr>
            <w:tcW w:w="1900" w:type="dxa"/>
            <w:vAlign w:val="center"/>
          </w:tcPr>
          <w:p>
            <w:pPr>
              <w:spacing w:before="0" w:after="3" w:lineRule="auto"/>
              <w:jc w:val="center"/>
            </w:pPr>
            <w:r>
              <w:rPr>
                <w:rFonts w:hint="eastAsia" w:ascii="宋体" w:hAnsi="宋体"/>
                <w:bCs/>
                <w:color w:val="000000"/>
                <w:sz w:val="24"/>
                <w:szCs w:val="24"/>
              </w:rPr>
              <w:t>88.0</w:t>
            </w:r>
          </w:p>
        </w:tc>
        <w:tc>
          <w:tcPr>
            <w:tcW w:w="1900" w:type="dxa"/>
            <w:vAlign w:val="center"/>
          </w:tcPr>
          <w:p>
            <w:pPr>
              <w:spacing w:before="0" w:after="3" w:lineRule="auto"/>
              <w:jc w:val="center"/>
            </w:pPr>
            <w:r>
              <w:rPr>
                <w:rFonts w:hint="eastAsia" w:ascii="宋体" w:hAnsi="宋体"/>
                <w:bCs/>
                <w:color w:val="000000"/>
                <w:sz w:val="24"/>
                <w:szCs w:val="24"/>
              </w:rPr>
              <w:t>47.0</w:t>
            </w:r>
          </w:p>
        </w:tc>
        <w:tc>
          <w:tcPr>
            <w:tcW w:w="1900" w:type="dxa"/>
            <w:vAlign w:val="center"/>
          </w:tcPr>
          <w:p>
            <w:pPr>
              <w:spacing w:before="0" w:after="3" w:lineRule="auto"/>
              <w:jc w:val="center"/>
            </w:pPr>
            <w:r>
              <w:rPr>
                <w:rFonts w:hint="eastAsia" w:ascii="宋体" w:hAnsi="宋体"/>
                <w:bCs/>
                <w:color w:val="000000"/>
                <w:sz w:val="24"/>
                <w:szCs w:val="24"/>
              </w:rPr>
              <w:t>100.0</w:t>
            </w:r>
          </w:p>
        </w:tc>
        <w:tc>
          <w:tcPr>
            <w:tcW w:w="1900" w:type="dxa"/>
            <w:vAlign w:val="center"/>
          </w:tcPr>
          <w:p>
            <w:pPr>
              <w:spacing w:before="0" w:after="3" w:lineRule="auto"/>
              <w:jc w:val="center"/>
            </w:pPr>
            <w:r>
              <w:rPr>
                <w:rFonts w:hint="eastAsia" w:ascii="宋体" w:hAnsi="宋体"/>
                <w:bCs/>
                <w:color w:val="000000"/>
                <w:sz w:val="24"/>
                <w:szCs w:val="24"/>
              </w:rPr>
              <w:t>77.0</w:t>
            </w:r>
          </w:p>
        </w:tc>
        <w:tc>
          <w:tcPr>
            <w:tcW w:w="1900" w:type="dxa"/>
            <w:vAlign w:val="center"/>
          </w:tcPr>
          <w:p>
            <w:pPr>
              <w:spacing w:before="0" w:after="3" w:lineRule="auto"/>
              <w:jc w:val="center"/>
            </w:pPr>
            <w:r>
              <w:rPr>
                <w:rFonts w:hint="eastAsia" w:ascii="宋体" w:hAnsi="宋体"/>
                <w:bCs/>
                <w:color w:val="000000"/>
                <w:sz w:val="24"/>
                <w:szCs w:val="24"/>
              </w:rPr>
              <w:t>87</w:t>
            </w:r>
          </w:p>
        </w:tc>
      </w:tr>
      <w:tr>
        <w:tc>
          <w:tcPr>
            <w:tcW w:w="1900" w:type="dxa"/>
            <w:vAlign w:val="center"/>
          </w:tcPr>
          <w:p>
            <w:pPr>
              <w:spacing w:before="0" w:after="3" w:lineRule="auto"/>
              <w:jc w:val="center"/>
            </w:pPr>
            <w:r>
              <w:rPr>
                <w:rFonts w:hint="eastAsia" w:ascii="宋体" w:hAnsi="宋体"/>
                <w:b/>
                <w:bCs/>
                <w:color w:val="000000"/>
                <w:sz w:val="24"/>
                <w:szCs w:val="24"/>
              </w:rPr>
              <w:t>总得分Q</w:t>
            </w:r>
          </w:p>
        </w:tc>
        <w:tc>
          <w:tcPr>
            <w:tcW w:w="1900" w:type="dxa"/>
            <w:hMerge w:val="restart"/>
            <w:vAlign w:val="center"/>
          </w:tcPr>
          <w:p>
            <w:pPr>
              <w:spacing w:before="0" w:after="3" w:lineRule="auto"/>
              <w:jc w:val="center"/>
            </w:pPr>
            <w:r>
              <w:rPr>
                <w:rFonts w:hint="eastAsia" w:ascii="宋体" w:hAnsi="宋体"/>
                <w:bCs/>
                <w:color w:val="000000"/>
                <w:sz w:val="24"/>
                <w:szCs w:val="24"/>
              </w:rPr>
              <w:t>89.9</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r>
        <w:tc>
          <w:tcPr>
            <w:tcW w:w="1900" w:type="dxa"/>
            <w:vAlign w:val="center"/>
          </w:tcPr>
          <w:p>
            <w:pPr>
              <w:spacing w:before="0" w:after="3" w:lineRule="auto"/>
              <w:jc w:val="center"/>
            </w:pPr>
            <w:r>
              <w:rPr>
                <w:rFonts w:hint="eastAsia" w:ascii="宋体" w:hAnsi="宋体"/>
                <w:b/>
                <w:bCs/>
                <w:color w:val="000000"/>
                <w:sz w:val="24"/>
                <w:szCs w:val="24"/>
              </w:rPr>
              <w:t>自评星级</w:t>
            </w:r>
          </w:p>
        </w:tc>
        <w:tc>
          <w:tcPr>
            <w:tcW w:w="1900" w:type="dxa"/>
            <w:hMerge w:val="restart"/>
            <w:vAlign w:val="center"/>
          </w:tcPr>
          <w:p>
            <w:pPr>
              <w:spacing w:before="0" w:after="3" w:lineRule="auto"/>
              <w:jc w:val="center"/>
            </w:pPr>
            <w:r>
              <w:rPr>
                <w:rFonts w:hint="eastAsia" w:ascii="宋体" w:hAnsi="宋体"/>
                <w:bCs/>
                <w:color w:val="000000"/>
                <w:sz w:val="24"/>
                <w:szCs w:val="24"/>
              </w:rPr>
              <w:t>★★★</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bl>
    <w:p>
      <w:pPr>
        <w:jc w:val="center"/>
      </w:pPr>
      <w:r>
        <w:rPr>
          <w:rFonts w:hint="eastAsia" w:ascii="宋体" w:hAnsi="宋体"/>
          <w:bCs/>
          <w:color w:val="000000"/>
          <w:sz w:val="20"/>
          <w:szCs w:val="20"/>
        </w:rPr>
        <w:t>注：总得分Q=（Q0+Q1+Q2+Q3+Q4+Q5+QA）/10</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Cs/>
          <w:color w:val="000000"/>
          <w:sz w:val="20"/>
          <w:szCs w:val="20"/>
        </w:rPr>
        <w:t>表3分专业自评得分情况</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900" w:type="dxa"/>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
                <w:bCs/>
                <w:color w:val="000000"/>
                <w:sz w:val="22"/>
                <w:szCs w:val="22"/>
              </w:rPr>
              <w:t>规划</w:t>
            </w:r>
          </w:p>
        </w:tc>
        <w:tc>
          <w:tcPr>
            <w:tcW w:w="1900" w:type="dxa"/>
            <w:vAlign w:val="center"/>
          </w:tcPr>
          <w:p>
            <w:pPr>
              <w:spacing w:before="0" w:after="3" w:lineRule="auto"/>
              <w:jc w:val="center"/>
            </w:pPr>
            <w:r>
              <w:rPr>
                <w:rFonts w:hint="eastAsia" w:ascii="宋体" w:hAnsi="宋体"/>
                <w:b/>
                <w:bCs/>
                <w:color w:val="000000"/>
                <w:sz w:val="22"/>
                <w:szCs w:val="22"/>
              </w:rPr>
              <w:t>建筑</w:t>
            </w:r>
          </w:p>
        </w:tc>
        <w:tc>
          <w:tcPr>
            <w:tcW w:w="1900" w:type="dxa"/>
            <w:vAlign w:val="center"/>
          </w:tcPr>
          <w:p>
            <w:pPr>
              <w:spacing w:before="0" w:after="3" w:lineRule="auto"/>
              <w:jc w:val="center"/>
            </w:pPr>
            <w:r>
              <w:rPr>
                <w:rFonts w:hint="eastAsia" w:ascii="宋体" w:hAnsi="宋体"/>
                <w:b/>
                <w:bCs/>
                <w:color w:val="000000"/>
                <w:sz w:val="22"/>
                <w:szCs w:val="22"/>
              </w:rPr>
              <w:t>结构/建材</w:t>
            </w:r>
          </w:p>
        </w:tc>
        <w:tc>
          <w:tcPr>
            <w:tcW w:w="1900" w:type="dxa"/>
            <w:vAlign w:val="center"/>
          </w:tcPr>
          <w:p>
            <w:pPr>
              <w:spacing w:before="0" w:after="3" w:lineRule="auto"/>
              <w:jc w:val="center"/>
            </w:pPr>
            <w:r>
              <w:rPr>
                <w:rFonts w:hint="eastAsia" w:ascii="宋体" w:hAnsi="宋体"/>
                <w:b/>
                <w:bCs/>
                <w:color w:val="000000"/>
                <w:sz w:val="22"/>
                <w:szCs w:val="22"/>
              </w:rPr>
              <w:t>给排水</w:t>
            </w:r>
          </w:p>
        </w:tc>
        <w:tc>
          <w:tcPr>
            <w:tcW w:w="1900" w:type="dxa"/>
            <w:vAlign w:val="center"/>
          </w:tcPr>
          <w:p>
            <w:pPr>
              <w:spacing w:before="0" w:after="3" w:lineRule="auto"/>
              <w:jc w:val="center"/>
            </w:pPr>
            <w:r>
              <w:rPr>
                <w:rFonts w:hint="eastAsia" w:ascii="宋体" w:hAnsi="宋体"/>
                <w:b/>
                <w:bCs/>
                <w:color w:val="000000"/>
                <w:sz w:val="22"/>
                <w:szCs w:val="22"/>
              </w:rPr>
              <w:t>暖通</w:t>
            </w:r>
          </w:p>
        </w:tc>
        <w:tc>
          <w:tcPr>
            <w:tcW w:w="1900" w:type="dxa"/>
            <w:vAlign w:val="center"/>
          </w:tcPr>
          <w:p>
            <w:pPr>
              <w:spacing w:before="0" w:after="3" w:lineRule="auto"/>
              <w:jc w:val="center"/>
            </w:pPr>
            <w:r>
              <w:rPr>
                <w:rFonts w:hint="eastAsia" w:ascii="宋体" w:hAnsi="宋体"/>
                <w:b/>
                <w:bCs/>
                <w:color w:val="000000"/>
                <w:sz w:val="22"/>
                <w:szCs w:val="22"/>
              </w:rPr>
              <w:t>建筑物理</w:t>
            </w:r>
          </w:p>
        </w:tc>
        <w:tc>
          <w:tcPr>
            <w:tcW w:w="1900" w:type="dxa"/>
            <w:vAlign w:val="center"/>
          </w:tcPr>
          <w:p>
            <w:pPr>
              <w:spacing w:before="0" w:after="3" w:lineRule="auto"/>
              <w:jc w:val="center"/>
            </w:pPr>
            <w:r>
              <w:rPr>
                <w:rFonts w:hint="eastAsia" w:ascii="宋体" w:hAnsi="宋体"/>
                <w:b/>
                <w:bCs/>
                <w:color w:val="000000"/>
                <w:sz w:val="22"/>
                <w:szCs w:val="22"/>
              </w:rPr>
              <w:t>电气</w:t>
            </w:r>
          </w:p>
        </w:tc>
        <w:tc>
          <w:tcPr>
            <w:tcW w:w="1900" w:type="dxa"/>
            <w:vAlign w:val="center"/>
          </w:tcPr>
          <w:p>
            <w:pPr>
              <w:spacing w:before="0" w:after="3" w:lineRule="auto"/>
              <w:jc w:val="center"/>
            </w:pPr>
            <w:r>
              <w:rPr>
                <w:rFonts w:hint="eastAsia" w:ascii="宋体" w:hAnsi="宋体"/>
                <w:b/>
                <w:bCs/>
                <w:color w:val="000000"/>
                <w:sz w:val="22"/>
                <w:szCs w:val="22"/>
              </w:rPr>
              <w:t>合计</w:t>
            </w:r>
          </w:p>
        </w:tc>
        <w:tc>
          <w:tcPr>
            <w:tcW w:w="1900" w:type="dxa"/>
            <w:vAlign w:val="center"/>
          </w:tcPr>
          <w:p>
            <w:pPr>
              <w:spacing w:before="0" w:after="3" w:lineRule="auto"/>
              <w:jc w:val="center"/>
            </w:pPr>
            <w:r>
              <w:rPr>
                <w:rFonts w:hint="eastAsia" w:ascii="宋体" w:hAnsi="宋体"/>
                <w:b/>
                <w:bCs/>
                <w:color w:val="000000"/>
                <w:sz w:val="22"/>
                <w:szCs w:val="22"/>
              </w:rPr>
              <w:t>备注</w:t>
            </w:r>
          </w:p>
        </w:tc>
      </w:tr>
      <w:tr>
        <w:tc>
          <w:tcPr>
            <w:tcW w:w="1900" w:type="dxa"/>
            <w:vAlign w:val="center"/>
          </w:tcPr>
          <w:p>
            <w:pPr>
              <w:spacing w:before="0" w:after="3" w:lineRule="auto"/>
              <w:jc w:val="center"/>
            </w:pPr>
            <w:r>
              <w:rPr>
                <w:rFonts w:hint="eastAsia" w:ascii="宋体" w:hAnsi="宋体"/>
                <w:b/>
                <w:bCs/>
                <w:color w:val="000000"/>
                <w:sz w:val="24"/>
                <w:szCs w:val="24"/>
              </w:rPr>
              <w:t>控制项</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18"/>
                <w:szCs w:val="18"/>
              </w:rPr>
              <w:t>全部达标得400分</w:t>
            </w:r>
          </w:p>
        </w:tc>
      </w:tr>
      <w:tr>
        <w:tc>
          <w:tcPr>
            <w:tcW w:w="1900" w:type="dxa"/>
            <w:vAlign w:val="center"/>
          </w:tcPr>
          <w:p>
            <w:pPr>
              <w:spacing w:before="0" w:after="3" w:lineRule="auto"/>
              <w:jc w:val="center"/>
            </w:pPr>
            <w:r>
              <w:rPr>
                <w:rFonts w:hint="eastAsia" w:ascii="宋体" w:hAnsi="宋体"/>
                <w:b/>
                <w:bCs/>
                <w:color w:val="000000"/>
                <w:sz w:val="24"/>
                <w:szCs w:val="24"/>
              </w:rPr>
              <w:t>评分项</w:t>
            </w:r>
          </w:p>
        </w:tc>
        <w:tc>
          <w:tcPr>
            <w:tcW w:w="1900" w:type="dxa"/>
            <w:vAlign w:val="center"/>
          </w:tcPr>
          <w:p>
            <w:pPr>
              <w:spacing w:before="0" w:after="3" w:lineRule="auto"/>
              <w:jc w:val="center"/>
            </w:pPr>
            <w:r>
              <w:rPr>
                <w:rFonts w:hint="eastAsia" w:ascii="宋体" w:hAnsi="宋体"/>
                <w:bCs/>
                <w:color w:val="000000"/>
                <w:sz w:val="24"/>
                <w:szCs w:val="24"/>
              </w:rPr>
              <w:t>83</w:t>
            </w:r>
          </w:p>
        </w:tc>
        <w:tc>
          <w:tcPr>
            <w:tcW w:w="1900" w:type="dxa"/>
            <w:vAlign w:val="center"/>
          </w:tcPr>
          <w:p>
            <w:pPr>
              <w:spacing w:before="0" w:after="3" w:lineRule="auto"/>
              <w:jc w:val="center"/>
            </w:pPr>
            <w:r>
              <w:rPr>
                <w:rFonts w:hint="eastAsia" w:ascii="宋体" w:hAnsi="宋体"/>
                <w:bCs/>
                <w:color w:val="000000"/>
                <w:sz w:val="24"/>
                <w:szCs w:val="24"/>
              </w:rPr>
              <w:t>40</w:t>
            </w:r>
          </w:p>
        </w:tc>
        <w:tc>
          <w:tcPr>
            <w:tcW w:w="1900" w:type="dxa"/>
            <w:vAlign w:val="center"/>
          </w:tcPr>
          <w:p>
            <w:pPr>
              <w:spacing w:before="0" w:after="3" w:lineRule="auto"/>
              <w:jc w:val="center"/>
            </w:pPr>
            <w:r>
              <w:rPr>
                <w:rFonts w:hint="eastAsia" w:ascii="宋体" w:hAnsi="宋体"/>
                <w:bCs/>
                <w:color w:val="000000"/>
                <w:sz w:val="24"/>
                <w:szCs w:val="24"/>
              </w:rPr>
              <w:t>78</w:t>
            </w:r>
          </w:p>
        </w:tc>
        <w:tc>
          <w:tcPr>
            <w:tcW w:w="1900" w:type="dxa"/>
            <w:vAlign w:val="center"/>
          </w:tcPr>
          <w:p>
            <w:pPr>
              <w:spacing w:before="0" w:after="3" w:lineRule="auto"/>
              <w:jc w:val="center"/>
            </w:pPr>
            <w:r>
              <w:rPr>
                <w:rFonts w:hint="eastAsia" w:ascii="宋体" w:hAnsi="宋体"/>
                <w:bCs/>
                <w:color w:val="000000"/>
                <w:sz w:val="24"/>
                <w:szCs w:val="24"/>
              </w:rPr>
              <w:t>50</w:t>
            </w:r>
          </w:p>
        </w:tc>
        <w:tc>
          <w:tcPr>
            <w:tcW w:w="1900" w:type="dxa"/>
            <w:vAlign w:val="center"/>
          </w:tcPr>
          <w:p>
            <w:pPr>
              <w:spacing w:before="0" w:after="3" w:lineRule="auto"/>
              <w:jc w:val="center"/>
            </w:pPr>
            <w:r>
              <w:rPr>
                <w:rFonts w:hint="eastAsia" w:ascii="宋体" w:hAnsi="宋体"/>
                <w:bCs/>
                <w:color w:val="000000"/>
                <w:sz w:val="24"/>
                <w:szCs w:val="24"/>
              </w:rPr>
              <w:t>44</w:t>
            </w:r>
          </w:p>
        </w:tc>
        <w:tc>
          <w:tcPr>
            <w:tcW w:w="1900" w:type="dxa"/>
            <w:vAlign w:val="center"/>
          </w:tcPr>
          <w:p>
            <w:pPr>
              <w:spacing w:before="0" w:after="3" w:lineRule="auto"/>
              <w:jc w:val="center"/>
            </w:pPr>
            <w:r>
              <w:rPr>
                <w:rFonts w:hint="eastAsia" w:ascii="宋体" w:hAnsi="宋体"/>
                <w:bCs/>
                <w:color w:val="000000"/>
                <w:sz w:val="24"/>
                <w:szCs w:val="24"/>
              </w:rPr>
              <w:t>36</w:t>
            </w:r>
          </w:p>
        </w:tc>
        <w:tc>
          <w:tcPr>
            <w:tcW w:w="1900" w:type="dxa"/>
            <w:vAlign w:val="center"/>
          </w:tcPr>
          <w:p>
            <w:pPr>
              <w:spacing w:before="0" w:after="3" w:lineRule="auto"/>
              <w:jc w:val="center"/>
            </w:pPr>
            <w:r>
              <w:rPr>
                <w:rFonts w:hint="eastAsia" w:ascii="宋体" w:hAnsi="宋体"/>
                <w:bCs/>
                <w:color w:val="000000"/>
                <w:sz w:val="24"/>
                <w:szCs w:val="24"/>
              </w:rPr>
              <w:t>81</w:t>
            </w:r>
          </w:p>
        </w:tc>
        <w:tc>
          <w:tcPr>
            <w:tcW w:w="1900" w:type="dxa"/>
            <w:vAlign w:val="center"/>
          </w:tcPr>
          <w:p>
            <w:pPr>
              <w:spacing w:before="0" w:after="3" w:lineRule="auto"/>
              <w:jc w:val="center"/>
            </w:pPr>
            <w:r>
              <w:rPr>
                <w:rFonts w:hint="eastAsia" w:ascii="宋体" w:hAnsi="宋体"/>
                <w:bCs/>
                <w:color w:val="000000"/>
                <w:sz w:val="24"/>
                <w:szCs w:val="24"/>
              </w:rPr>
              <w:t>412</w:t>
            </w:r>
          </w:p>
        </w:tc>
        <w:tc>
          <w:tcPr>
            <w:tcW w:w="1900" w:type="dxa"/>
            <w:vAlign w:val="center"/>
          </w:tcPr>
          <w:p>
            <w:pPr>
              <w:spacing w:before="0" w:after="3" w:lineRule="auto"/>
              <w:jc w:val="center"/>
            </w:pPr>
            <w:r>
              <w:rPr>
                <w:rFonts w:hint="eastAsia" w:ascii="宋体" w:hAnsi="宋体"/>
                <w:bCs/>
                <w:color w:val="000000"/>
                <w:sz w:val="18"/>
                <w:szCs w:val="18"/>
              </w:rPr>
              <w:t>/</w:t>
            </w:r>
          </w:p>
        </w:tc>
      </w:tr>
      <w:tr>
        <w:tc>
          <w:tcPr>
            <w:tcW w:w="1900" w:type="dxa"/>
            <w:vAlign w:val="center"/>
          </w:tcPr>
          <w:p>
            <w:pPr>
              <w:spacing w:before="0" w:after="3" w:lineRule="auto"/>
              <w:jc w:val="center"/>
            </w:pPr>
            <w:r>
              <w:rPr>
                <w:rFonts w:hint="eastAsia" w:ascii="宋体" w:hAnsi="宋体"/>
                <w:b/>
                <w:bCs/>
                <w:color w:val="000000"/>
                <w:sz w:val="24"/>
                <w:szCs w:val="24"/>
              </w:rPr>
              <w:t>加分项</w:t>
            </w:r>
          </w:p>
        </w:tc>
        <w:tc>
          <w:tcPr>
            <w:tcW w:w="1900" w:type="dxa"/>
            <w:vAlign w:val="center"/>
          </w:tcPr>
          <w:p>
            <w:pPr>
              <w:spacing w:before="0" w:after="3" w:lineRule="auto"/>
              <w:jc w:val="center"/>
            </w:pPr>
            <w:r>
              <w:rPr>
                <w:rFonts w:hint="eastAsia" w:ascii="宋体" w:hAnsi="宋体"/>
                <w:bCs/>
                <w:color w:val="000000"/>
                <w:sz w:val="24"/>
                <w:szCs w:val="24"/>
              </w:rPr>
              <w:t>5</w:t>
            </w:r>
          </w:p>
        </w:tc>
        <w:tc>
          <w:tcPr>
            <w:tcW w:w="1900" w:type="dxa"/>
            <w:vAlign w:val="center"/>
          </w:tcPr>
          <w:p>
            <w:pPr>
              <w:spacing w:before="0" w:after="3" w:lineRule="auto"/>
              <w:jc w:val="center"/>
            </w:pPr>
            <w:r>
              <w:rPr>
                <w:rFonts w:hint="eastAsia" w:ascii="宋体" w:hAnsi="宋体"/>
                <w:bCs/>
                <w:color w:val="000000"/>
                <w:sz w:val="24"/>
                <w:szCs w:val="24"/>
              </w:rPr>
              <w:t>25</w:t>
            </w:r>
          </w:p>
        </w:tc>
        <w:tc>
          <w:tcPr>
            <w:tcW w:w="1900" w:type="dxa"/>
            <w:vAlign w:val="center"/>
          </w:tcPr>
          <w:p>
            <w:pPr>
              <w:spacing w:before="0" w:after="3" w:lineRule="auto"/>
              <w:jc w:val="center"/>
            </w:pPr>
            <w:r>
              <w:rPr>
                <w:rFonts w:hint="eastAsia" w:ascii="宋体" w:hAnsi="宋体"/>
                <w:bCs/>
                <w:color w:val="000000"/>
                <w:sz w:val="24"/>
                <w:szCs w:val="24"/>
              </w:rPr>
              <w:t>20</w:t>
            </w:r>
          </w:p>
        </w:tc>
        <w:tc>
          <w:tcPr>
            <w:tcW w:w="1900" w:type="dxa"/>
            <w:vAlign w:val="center"/>
          </w:tcPr>
          <w:p>
            <w:pPr>
              <w:spacing w:before="0" w:after="3" w:lineRule="auto"/>
              <w:jc w:val="center"/>
            </w:pPr>
            <w:r>
              <w:rPr>
                <w:rFonts w:hint="eastAsia" w:ascii="宋体" w:hAnsi="宋体"/>
                <w:bCs/>
                <w:color w:val="000000"/>
                <w:sz w:val="24"/>
                <w:szCs w:val="24"/>
              </w:rPr>
              <w:t>0</w:t>
            </w:r>
          </w:p>
        </w:tc>
        <w:tc>
          <w:tcPr>
            <w:tcW w:w="1900" w:type="dxa"/>
            <w:vAlign w:val="center"/>
          </w:tcPr>
          <w:p>
            <w:pPr>
              <w:spacing w:before="0" w:after="3" w:lineRule="auto"/>
              <w:jc w:val="center"/>
            </w:pPr>
            <w:r>
              <w:rPr>
                <w:rFonts w:hint="eastAsia" w:ascii="宋体" w:hAnsi="宋体"/>
                <w:bCs/>
                <w:color w:val="000000"/>
                <w:sz w:val="24"/>
                <w:szCs w:val="24"/>
              </w:rPr>
              <w:t>37</w:t>
            </w:r>
          </w:p>
        </w:tc>
        <w:tc>
          <w:tcPr>
            <w:tcW w:w="1900" w:type="dxa"/>
            <w:vAlign w:val="center"/>
          </w:tcPr>
          <w:p>
            <w:pPr>
              <w:spacing w:before="0" w:after="3" w:lineRule="auto"/>
              <w:jc w:val="center"/>
            </w:pPr>
            <w:r>
              <w:rPr>
                <w:rFonts w:hint="eastAsia" w:ascii="宋体" w:hAnsi="宋体"/>
                <w:bCs/>
                <w:color w:val="000000"/>
                <w:sz w:val="24"/>
                <w:szCs w:val="24"/>
              </w:rPr>
              <w:t>0</w:t>
            </w:r>
          </w:p>
        </w:tc>
        <w:tc>
          <w:tcPr>
            <w:tcW w:w="1900" w:type="dxa"/>
            <w:vAlign w:val="center"/>
          </w:tcPr>
          <w:p>
            <w:pPr>
              <w:spacing w:before="0" w:after="3" w:lineRule="auto"/>
              <w:jc w:val="center"/>
            </w:pPr>
            <w:r>
              <w:rPr>
                <w:rFonts w:hint="eastAsia" w:ascii="宋体" w:hAnsi="宋体"/>
                <w:bCs/>
                <w:color w:val="000000"/>
                <w:sz w:val="24"/>
                <w:szCs w:val="24"/>
              </w:rPr>
              <w:t>0</w:t>
            </w:r>
          </w:p>
        </w:tc>
        <w:tc>
          <w:tcPr>
            <w:tcW w:w="1900" w:type="dxa"/>
            <w:vAlign w:val="center"/>
          </w:tcPr>
          <w:p>
            <w:pPr>
              <w:spacing w:before="0" w:after="3" w:lineRule="auto"/>
              <w:jc w:val="center"/>
            </w:pPr>
            <w:r>
              <w:rPr>
                <w:rFonts w:hint="eastAsia" w:ascii="宋体" w:hAnsi="宋体"/>
                <w:bCs/>
                <w:color w:val="000000"/>
                <w:sz w:val="24"/>
                <w:szCs w:val="24"/>
              </w:rPr>
              <w:t>87</w:t>
            </w:r>
          </w:p>
        </w:tc>
        <w:tc>
          <w:tcPr>
            <w:tcW w:w="1900" w:type="dxa"/>
            <w:vAlign w:val="center"/>
          </w:tcPr>
          <w:p>
            <w:pPr>
              <w:spacing w:before="0" w:after="3" w:lineRule="auto"/>
              <w:jc w:val="center"/>
            </w:pPr>
            <w:r>
              <w:rPr>
                <w:rFonts w:hint="eastAsia" w:ascii="宋体" w:hAnsi="宋体"/>
                <w:bCs/>
                <w:color w:val="000000"/>
                <w:sz w:val="18"/>
                <w:szCs w:val="18"/>
              </w:rPr>
              <w:t>合计得分最高100分</w:t>
            </w:r>
          </w:p>
        </w:tc>
      </w:tr>
      <w:tr>
        <w:tc>
          <w:tcPr>
            <w:tcW w:w="1900" w:type="dxa"/>
            <w:vAlign w:val="center"/>
          </w:tcPr>
          <w:p>
            <w:pPr>
              <w:spacing w:before="0" w:after="3" w:lineRule="auto"/>
              <w:jc w:val="center"/>
            </w:pPr>
            <w:r>
              <w:rPr>
                <w:rFonts w:hint="eastAsia" w:ascii="宋体" w:hAnsi="宋体"/>
                <w:b/>
                <w:bCs/>
                <w:color w:val="000000"/>
                <w:sz w:val="24"/>
                <w:szCs w:val="24"/>
              </w:rPr>
              <w:t>总得分</w:t>
            </w:r>
          </w:p>
        </w:tc>
        <w:tc>
          <w:tcPr>
            <w:tcW w:w="1900" w:type="dxa"/>
            <w:hMerge w:val="restart"/>
            <w:vAlign w:val="center"/>
          </w:tcPr>
          <w:p>
            <w:pPr>
              <w:spacing w:before="0" w:after="3" w:lineRule="auto"/>
              <w:jc w:val="center"/>
            </w:pPr>
            <w:r>
              <w:rPr>
                <w:rFonts w:hint="eastAsia" w:ascii="宋体" w:hAnsi="宋体"/>
                <w:bCs/>
                <w:color w:val="000000"/>
                <w:sz w:val="24"/>
                <w:szCs w:val="24"/>
              </w:rPr>
              <w:t>89.9</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Cs/>
                <w:color w:val="000000"/>
                <w:sz w:val="24"/>
                <w:szCs w:val="24"/>
              </w:rPr>
              <w:t>/</w:t>
            </w:r>
          </w:p>
        </w:tc>
      </w:tr>
      <w:tr>
        <w:tc>
          <w:tcPr>
            <w:tcW w:w="1900" w:type="dxa"/>
            <w:vAlign w:val="center"/>
          </w:tcPr>
          <w:p>
            <w:pPr>
              <w:spacing w:before="0" w:after="3" w:lineRule="auto"/>
              <w:jc w:val="center"/>
            </w:pPr>
            <w:r>
              <w:rPr>
                <w:rFonts w:hint="eastAsia" w:ascii="宋体" w:hAnsi="宋体"/>
                <w:b/>
                <w:bCs/>
                <w:color w:val="000000"/>
                <w:sz w:val="24"/>
                <w:szCs w:val="24"/>
              </w:rPr>
              <w:t>自评星级</w:t>
            </w:r>
          </w:p>
        </w:tc>
        <w:tc>
          <w:tcPr>
            <w:tcW w:w="1900" w:type="dxa"/>
            <w:hMerge w:val="restart"/>
            <w:vAlign w:val="center"/>
          </w:tcPr>
          <w:p>
            <w:pPr>
              <w:spacing w:before="0" w:after="3" w:lineRule="auto"/>
              <w:jc w:val="center"/>
            </w:pPr>
            <w:r>
              <w:rPr>
                <w:rFonts w:hint="eastAsia" w:ascii="宋体" w:hAnsi="宋体"/>
                <w:bCs/>
                <w:color w:val="000000"/>
                <w:sz w:val="24"/>
                <w:szCs w:val="24"/>
              </w:rPr>
              <w:t>★★★</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Cs/>
                <w:color w:val="000000"/>
                <w:sz w:val="24"/>
                <w:szCs w:val="24"/>
              </w:rPr>
              <w:t>/</w:t>
            </w:r>
          </w:p>
        </w:tc>
      </w:tr>
    </w:tbl>
    <w:p>
      <w:pPr>
        <w:jc w:val="center"/>
      </w:pPr>
      <w:r>
        <w:rPr>
          <w:rFonts w:hint="eastAsia" w:ascii="宋体" w:hAnsi="宋体"/>
          <w:bCs/>
          <w:color w:val="000000"/>
          <w:sz w:val="20"/>
          <w:szCs w:val="20"/>
        </w:rPr>
        <w:t>注：总得分=（控制项合计+评分项合计+加分项合计）/10</w:t>
      </w:r>
    </w:p>
    <w:p>
      <w:pPr>
        <w:jc w:val="left"/>
      </w:pPr>
      <w:r>
        <w:rPr>
          <w:rFonts w:hint="eastAsia" w:ascii="宋体" w:hAnsi="宋体"/>
          <w:bCs/>
          <w:color w:val="000000"/>
          <w:sz w:val="24"/>
          <w:szCs w:val="24"/>
          <w:u w:val="single"/>
        </w:rPr>
        <w:t/>
      </w:r>
    </w:p>
    <w:p>
      <w:br w:type="page"/>
    </w:p>
    <w:p>
      <w:r>
        <w:rPr>
          <w:rFonts w:hint="eastAsia" w:ascii="宋体" w:hAnsi="宋体"/>
          <w:b/>
          <w:bCs/>
          <w:color w:val="000000"/>
          <w:sz w:val="28"/>
          <w:szCs w:val="28"/>
        </w:rPr>
        <w:t>二、项目效果图（需标示申报范围）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3"/>
                    <a:stretch>
                      <a:fillRect/>
                    </a:stretch>
                  </pic:blipFill>
                  <pic:spPr>
                    <a:xfrm>
                      <a:off x="0" y="0"/>
                      <a:ext cx="1905000" cy="2667000"/>
                    </a:xfrm>
                    <a:prstGeom prst="rect">
                      <a:avLst/>
                    </a:prstGeom>
                  </pic:spPr>
                </pic:pic>
              </a:graphicData>
            </a:graphic>
          </wp:inline>
        </w:drawing>
      </w:r>
    </w:p>
    <w:p>
      <w:pPr>
        <w:jc w:val="center"/>
      </w:pPr>
      <w:r>
        <w:rPr>
          <w:rFonts w:hint="eastAsia" w:ascii="宋体" w:hAnsi="宋体"/>
          <w:b/>
          <w:bCs/>
          <w:color w:val="000000"/>
          <w:sz w:val="28"/>
          <w:szCs w:val="28"/>
        </w:rPr>
        <w:t/>
      </w:r>
    </w:p>
    <w:p>
      <w:pPr>
        <w:jc w:val="left"/>
      </w:pPr>
      <w:r>
        <w:rPr>
          <w:rFonts w:hint="eastAsia" w:ascii="宋体" w:hAnsi="宋体"/>
          <w:bCs/>
          <w:color w:val="000000"/>
          <w:sz w:val="24"/>
          <w:szCs w:val="24"/>
        </w:rPr>
        <w:t>项目地理位置、建筑面积、层数、高度、主要功能等概述：</w:t>
      </w:r>
    </w:p>
    <w:p>
      <w:br w:type="page"/>
    </w:p>
    <w:p>
      <w:pPr>
        <w:jc w:val="center"/>
      </w:pPr>
      <w:r>
        <w:rPr>
          <w:rFonts w:hint="eastAsia" w:ascii="宋体" w:hAnsi="宋体"/>
          <w:b/>
          <w:bCs/>
          <w:color w:val="000000"/>
          <w:sz w:val="28"/>
          <w:szCs w:val="28"/>
        </w:rPr>
        <w:t>三、自评内容</w:t>
      </w:r>
    </w:p>
    <w:p>
      <w:pPr>
        <w:jc w:val="center"/>
      </w:pPr>
      <w:r>
        <w:rPr>
          <w:rFonts w:hint="eastAsia" w:ascii="宋体" w:hAnsi="宋体"/>
          <w:b/>
          <w:bCs/>
          <w:color w:val="000000"/>
          <w:sz w:val="24"/>
          <w:szCs w:val="24"/>
        </w:rPr>
        <w:t>1 规划</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000" w:type="dxa"/>
            <w:shd w:color="auto" w:fill="DCDCDC"/>
            <w:vAlign w:val="center"/>
          </w:tcPr>
          <w:p>
            <w:pPr>
              <w:spacing w:before="0" w:after="3" w:lineRule="auto"/>
              <w:jc w:val="center"/>
            </w:pPr>
            <w:r>
              <w:rPr>
                <w:rFonts w:hint="eastAsia" w:ascii="宋体" w:hAnsi="宋体"/>
                <w:b/>
                <w:bCs/>
                <w:color w:val="000000"/>
                <w:sz w:val="20"/>
                <w:szCs w:val="20"/>
              </w:rPr>
              <w:t>子项</w:t>
            </w:r>
          </w:p>
        </w:tc>
        <w:tc>
          <w:tcPr>
            <w:tcW w:w="800" w:type="dxa"/>
            <w:shd w:color="auto" w:fill="DCDCDC"/>
            <w:vAlign w:val="center"/>
          </w:tcPr>
          <w:p>
            <w:pPr>
              <w:spacing w:before="0" w:after="3" w:lineRule="auto"/>
              <w:jc w:val="center"/>
            </w:pPr>
            <w:r>
              <w:rPr>
                <w:rFonts w:hint="eastAsia" w:ascii="宋体" w:hAnsi="宋体"/>
                <w:b/>
                <w:bCs/>
                <w:color w:val="000000"/>
                <w:sz w:val="22"/>
                <w:szCs w:val="22"/>
              </w:rPr>
              <w:t>条文编号</w:t>
            </w:r>
          </w:p>
        </w:tc>
        <w:tc>
          <w:tcPr>
            <w:tcW w:w="5000" w:type="dxa"/>
            <w:shd w:color="auto" w:fill="DCDCDC"/>
            <w:vAlign w:val="center"/>
          </w:tcPr>
          <w:p>
            <w:pPr>
              <w:spacing w:before="0" w:after="3" w:lineRule="auto"/>
              <w:jc w:val="center"/>
            </w:pPr>
            <w:r>
              <w:rPr>
                <w:rFonts w:hint="eastAsia" w:ascii="宋体" w:hAnsi="宋体"/>
                <w:b/>
                <w:bCs/>
                <w:color w:val="000000"/>
                <w:sz w:val="20"/>
                <w:szCs w:val="20"/>
              </w:rPr>
              <w:t>条文</w:t>
            </w:r>
          </w:p>
        </w:tc>
        <w:tc>
          <w:tcPr>
            <w:tcW w:w="800" w:type="dxa"/>
            <w:shd w:color="auto" w:fill="DCDCDC"/>
            <w:vAlign w:val="center"/>
          </w:tcPr>
          <w:p>
            <w:pPr>
              <w:spacing w:before="0" w:after="3" w:lineRule="auto"/>
              <w:jc w:val="center"/>
            </w:pPr>
            <w:r>
              <w:rPr>
                <w:rFonts w:hint="eastAsia" w:ascii="宋体" w:hAnsi="宋体"/>
                <w:b/>
                <w:bCs/>
                <w:color w:val="000000"/>
                <w:sz w:val="20"/>
                <w:szCs w:val="20"/>
              </w:rPr>
              <w:t>满分</w:t>
            </w:r>
          </w:p>
        </w:tc>
        <w:tc>
          <w:tcPr>
            <w:tcW w:w="800" w:type="dxa"/>
            <w:shd w:color="auto" w:fill="DCDCDC"/>
            <w:vAlign w:val="center"/>
          </w:tcPr>
          <w:p>
            <w:pPr>
              <w:spacing w:before="0" w:after="3" w:lineRule="auto"/>
              <w:jc w:val="center"/>
            </w:pPr>
            <w:r>
              <w:rPr>
                <w:rFonts w:hint="eastAsia" w:ascii="宋体" w:hAnsi="宋体"/>
                <w:b/>
                <w:bCs/>
                <w:color w:val="000000"/>
                <w:sz w:val="20"/>
                <w:szCs w:val="20"/>
              </w:rPr>
              <w:t>达标/得分</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控制项</w:t>
            </w:r>
          </w:p>
        </w:tc>
        <w:tc>
          <w:tcPr>
            <w:tcW w:w="800" w:type="dxa"/>
            <w:vAlign w:val="center"/>
          </w:tcPr>
          <w:p>
            <w:pPr>
              <w:spacing w:before="0" w:after="3" w:lineRule="auto"/>
              <w:jc w:val="left"/>
            </w:pPr>
            <w:r>
              <w:rPr>
                <w:rFonts w:hint="eastAsia" w:ascii="宋体" w:hAnsi="宋体"/>
                <w:bCs/>
                <w:color w:val="000000"/>
                <w:sz w:val="22"/>
                <w:szCs w:val="22"/>
              </w:rPr>
              <w:t>3.2.8</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4.1.1</w:t>
            </w:r>
          </w:p>
        </w:tc>
        <w:tc>
          <w:tcPr>
            <w:tcW w:w="5000" w:type="dxa"/>
            <w:vAlign w:val="center"/>
          </w:tcPr>
          <w:p>
            <w:pPr>
              <w:spacing w:before="0" w:after="3" w:lineRule="auto"/>
              <w:jc w:val="left"/>
            </w:pPr>
            <w:r>
              <w:rPr>
                <w:rFonts w:hint="eastAsia" w:ascii="宋体" w:hAnsi="宋体"/>
                <w:bCs/>
                <w:color w:val="000000"/>
                <w:sz w:val="22"/>
                <w:szCs w:val="22"/>
              </w:rPr>
              <w:t>场地应避开滑坡、泥石流等地质危险地段，易发生洪涝地区应有可靠的防洪涝基础设施；场地应无危险化学品、易燃易爆危险源的威胁，应无电磁辐射、含氡土壤的危害</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6.1.1</w:t>
            </w:r>
          </w:p>
        </w:tc>
        <w:tc>
          <w:tcPr>
            <w:tcW w:w="5000" w:type="dxa"/>
            <w:vAlign w:val="center"/>
          </w:tcPr>
          <w:p>
            <w:pPr>
              <w:spacing w:before="0" w:after="3" w:lineRule="auto"/>
              <w:jc w:val="left"/>
            </w:pPr>
            <w:r>
              <w:rPr>
                <w:rFonts w:hint="eastAsia" w:ascii="宋体" w:hAnsi="宋体"/>
                <w:bCs/>
                <w:color w:val="000000"/>
                <w:sz w:val="22"/>
                <w:szCs w:val="22"/>
              </w:rPr>
              <w:t>建筑、室外场地、公共绿地、城市道路相互之间应设置连贯的无障碍步行系统</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6.1.2</w:t>
            </w:r>
          </w:p>
        </w:tc>
        <w:tc>
          <w:tcPr>
            <w:tcW w:w="5000" w:type="dxa"/>
            <w:vAlign w:val="center"/>
          </w:tcPr>
          <w:p>
            <w:pPr>
              <w:spacing w:before="0" w:after="3" w:lineRule="auto"/>
              <w:jc w:val="left"/>
            </w:pPr>
            <w:r>
              <w:rPr>
                <w:rFonts w:hint="eastAsia" w:ascii="宋体" w:hAnsi="宋体"/>
                <w:bCs/>
                <w:color w:val="000000"/>
                <w:sz w:val="22"/>
                <w:szCs w:val="22"/>
              </w:rPr>
              <w:t>场地人行出入口 500m 内应设有公共交通站点或配备联系公共交通站点的专用接驳车</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6.1.4</w:t>
            </w:r>
          </w:p>
        </w:tc>
        <w:tc>
          <w:tcPr>
            <w:tcW w:w="5000" w:type="dxa"/>
            <w:vAlign w:val="center"/>
          </w:tcPr>
          <w:p>
            <w:pPr>
              <w:spacing w:before="0" w:after="3" w:lineRule="auto"/>
              <w:jc w:val="left"/>
            </w:pPr>
            <w:r>
              <w:rPr>
                <w:rFonts w:hint="eastAsia" w:ascii="宋体" w:hAnsi="宋体"/>
                <w:bCs/>
                <w:color w:val="000000"/>
                <w:sz w:val="22"/>
                <w:szCs w:val="22"/>
              </w:rPr>
              <w:t>自行车停车场所应位置合理、方便出入</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8.1.1</w:t>
            </w:r>
          </w:p>
        </w:tc>
        <w:tc>
          <w:tcPr>
            <w:tcW w:w="5000" w:type="dxa"/>
            <w:vAlign w:val="center"/>
          </w:tcPr>
          <w:p>
            <w:pPr>
              <w:spacing w:before="0" w:after="3" w:lineRule="auto"/>
              <w:jc w:val="left"/>
            </w:pPr>
            <w:r>
              <w:rPr>
                <w:rFonts w:hint="eastAsia" w:ascii="宋体" w:hAnsi="宋体"/>
                <w:bCs/>
                <w:color w:val="000000"/>
                <w:sz w:val="22"/>
                <w:szCs w:val="22"/>
              </w:rPr>
              <w:t>建筑规划布局应满足日照标准，且不得降低周边建筑的日照标准</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8.1.3</w:t>
            </w:r>
          </w:p>
        </w:tc>
        <w:tc>
          <w:tcPr>
            <w:tcW w:w="5000" w:type="dxa"/>
            <w:vAlign w:val="center"/>
          </w:tcPr>
          <w:p>
            <w:pPr>
              <w:spacing w:before="0" w:after="3" w:lineRule="auto"/>
              <w:jc w:val="left"/>
            </w:pPr>
            <w:r>
              <w:rPr>
                <w:rFonts w:hint="eastAsia" w:ascii="宋体" w:hAnsi="宋体"/>
                <w:bCs/>
                <w:color w:val="000000"/>
                <w:sz w:val="22"/>
                <w:szCs w:val="22"/>
              </w:rPr>
              <w:t>配建的绿地应符合所在地城乡规划的要求，应合理选择绿化方式，植物种植应适应当地气候和土壤，且应无毒、易维护，种植区域覆土深度和排水能力应满足植物生长需求，并应采用复层绿化方式</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8.1.6</w:t>
            </w:r>
          </w:p>
        </w:tc>
        <w:tc>
          <w:tcPr>
            <w:tcW w:w="5000" w:type="dxa"/>
            <w:vAlign w:val="center"/>
          </w:tcPr>
          <w:p>
            <w:pPr>
              <w:spacing w:before="0" w:after="3" w:lineRule="auto"/>
              <w:jc w:val="left"/>
            </w:pPr>
            <w:r>
              <w:rPr>
                <w:rFonts w:hint="eastAsia" w:ascii="宋体" w:hAnsi="宋体"/>
                <w:bCs/>
                <w:color w:val="000000"/>
                <w:sz w:val="22"/>
                <w:szCs w:val="22"/>
              </w:rPr>
              <w:t>场地内不应有排放超标的污染源</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8.1.7</w:t>
            </w:r>
          </w:p>
        </w:tc>
        <w:tc>
          <w:tcPr>
            <w:tcW w:w="5000" w:type="dxa"/>
            <w:vAlign w:val="center"/>
          </w:tcPr>
          <w:p>
            <w:pPr>
              <w:spacing w:before="0" w:after="3" w:lineRule="auto"/>
              <w:jc w:val="left"/>
            </w:pPr>
            <w:r>
              <w:rPr>
                <w:rFonts w:hint="eastAsia" w:ascii="宋体" w:hAnsi="宋体"/>
                <w:bCs/>
                <w:color w:val="000000"/>
                <w:sz w:val="22"/>
                <w:szCs w:val="22"/>
              </w:rPr>
              <w:t>生活垃圾应分类收集，垃圾容器和收集点的设置应合理并应与周围景观协调</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评分项</w:t>
            </w:r>
          </w:p>
        </w:tc>
        <w:tc>
          <w:tcPr>
            <w:tcW w:w="800" w:type="dxa"/>
            <w:vAlign w:val="center"/>
          </w:tcPr>
          <w:p>
            <w:pPr>
              <w:spacing w:before="0" w:after="3" w:lineRule="auto"/>
              <w:jc w:val="left"/>
            </w:pPr>
            <w:r>
              <w:rPr>
                <w:rFonts w:hint="eastAsia" w:ascii="宋体" w:hAnsi="宋体"/>
                <w:bCs/>
                <w:color w:val="000000"/>
                <w:sz w:val="22"/>
                <w:szCs w:val="22"/>
              </w:rPr>
              <w:t>4.2.5</w:t>
            </w:r>
          </w:p>
        </w:tc>
        <w:tc>
          <w:tcPr>
            <w:tcW w:w="5000" w:type="dxa"/>
            <w:vAlign w:val="center"/>
          </w:tcPr>
          <w:p>
            <w:pPr>
              <w:spacing w:before="0" w:after="3" w:lineRule="auto"/>
              <w:jc w:val="left"/>
            </w:pPr>
            <w:r>
              <w:rPr>
                <w:rFonts w:hint="eastAsia" w:ascii="宋体" w:hAnsi="宋体"/>
                <w:bCs/>
                <w:color w:val="000000"/>
                <w:sz w:val="22"/>
                <w:szCs w:val="22"/>
              </w:rPr>
              <w:t>采取人车分流措施，且步行和自行车交通系统有充足照明</w:t>
            </w:r>
          </w:p>
        </w:tc>
        <w:tc>
          <w:tcPr>
            <w:tcW w:w="800" w:type="dxa"/>
            <w:vAlign w:val="center"/>
          </w:tcPr>
          <w:p>
            <w:pPr>
              <w:spacing w:before="0" w:after="3" w:lineRule="auto"/>
              <w:jc w:val="center"/>
            </w:pPr>
            <w:r>
              <w:rPr>
                <w:rFonts w:hint="eastAsia" w:ascii="宋体" w:hAnsi="宋体"/>
                <w:bCs/>
                <w:color w:val="000000"/>
                <w:sz w:val="22"/>
                <w:szCs w:val="22"/>
              </w:rPr>
              <w:t>8</w:t>
            </w:r>
          </w:p>
        </w:tc>
        <w:tc>
          <w:tcPr>
            <w:tcW w:w="800" w:type="dxa"/>
            <w:vAlign w:val="center"/>
          </w:tcPr>
          <w:p>
            <w:pPr>
              <w:spacing w:before="0" w:after="3" w:lineRule="auto"/>
              <w:jc w:val="center"/>
            </w:pPr>
            <w:r>
              <w:rPr>
                <w:rFonts w:hint="eastAsia" w:ascii="宋体" w:hAnsi="宋体"/>
                <w:bCs/>
                <w:color w:val="000000"/>
                <w:sz w:val="22"/>
                <w:szCs w:val="22"/>
              </w:rPr>
              <w:t>8</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6.2.1</w:t>
            </w:r>
          </w:p>
        </w:tc>
        <w:tc>
          <w:tcPr>
            <w:tcW w:w="5000" w:type="dxa"/>
            <w:vAlign w:val="center"/>
          </w:tcPr>
          <w:p>
            <w:pPr>
              <w:spacing w:before="0" w:after="3" w:lineRule="auto"/>
              <w:jc w:val="left"/>
            </w:pPr>
            <w:r>
              <w:rPr>
                <w:rFonts w:hint="eastAsia" w:ascii="宋体" w:hAnsi="宋体"/>
                <w:bCs/>
                <w:color w:val="000000"/>
                <w:sz w:val="22"/>
                <w:szCs w:val="22"/>
              </w:rPr>
              <w:t>场地与公共交通站点联系便捷</w:t>
            </w:r>
          </w:p>
        </w:tc>
        <w:tc>
          <w:tcPr>
            <w:tcW w:w="800" w:type="dxa"/>
            <w:vAlign w:val="center"/>
          </w:tcPr>
          <w:p>
            <w:pPr>
              <w:spacing w:before="0" w:after="3" w:lineRule="auto"/>
              <w:jc w:val="center"/>
            </w:pPr>
            <w:r>
              <w:rPr>
                <w:rFonts w:hint="eastAsia" w:ascii="宋体" w:hAnsi="宋体"/>
                <w:bCs/>
                <w:color w:val="000000"/>
                <w:sz w:val="22"/>
                <w:szCs w:val="22"/>
              </w:rPr>
              <w:t>8</w:t>
            </w:r>
          </w:p>
        </w:tc>
        <w:tc>
          <w:tcPr>
            <w:tcW w:w="800" w:type="dxa"/>
            <w:vAlign w:val="center"/>
          </w:tcPr>
          <w:p>
            <w:pPr>
              <w:spacing w:before="0" w:after="3" w:lineRule="auto"/>
              <w:jc w:val="center"/>
            </w:pPr>
            <w:r>
              <w:rPr>
                <w:rFonts w:hint="eastAsia" w:ascii="宋体" w:hAnsi="宋体"/>
                <w:bCs/>
                <w:color w:val="000000"/>
                <w:sz w:val="22"/>
                <w:szCs w:val="22"/>
              </w:rPr>
              <w:t>8</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6.2.3</w:t>
            </w:r>
          </w:p>
        </w:tc>
        <w:tc>
          <w:tcPr>
            <w:tcW w:w="5000" w:type="dxa"/>
            <w:vAlign w:val="center"/>
          </w:tcPr>
          <w:p>
            <w:pPr>
              <w:spacing w:before="0" w:after="3" w:lineRule="auto"/>
              <w:jc w:val="left"/>
            </w:pPr>
            <w:r>
              <w:rPr>
                <w:rFonts w:hint="eastAsia" w:ascii="宋体" w:hAnsi="宋体"/>
                <w:bCs/>
                <w:color w:val="000000"/>
                <w:sz w:val="22"/>
                <w:szCs w:val="22"/>
              </w:rPr>
              <w:t>提供便利的公共服务</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5</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6.2.4</w:t>
            </w:r>
          </w:p>
        </w:tc>
        <w:tc>
          <w:tcPr>
            <w:tcW w:w="5000" w:type="dxa"/>
            <w:vAlign w:val="center"/>
          </w:tcPr>
          <w:p>
            <w:pPr>
              <w:spacing w:before="0" w:after="3" w:lineRule="auto"/>
              <w:jc w:val="left"/>
            </w:pPr>
            <w:r>
              <w:rPr>
                <w:rFonts w:hint="eastAsia" w:ascii="宋体" w:hAnsi="宋体"/>
                <w:bCs/>
                <w:color w:val="000000"/>
                <w:sz w:val="22"/>
                <w:szCs w:val="22"/>
              </w:rPr>
              <w:t>城市绿地、广场及公共运动场地等开敞空间，步行可达</w:t>
            </w:r>
          </w:p>
        </w:tc>
        <w:tc>
          <w:tcPr>
            <w:tcW w:w="800" w:type="dxa"/>
            <w:vAlign w:val="center"/>
          </w:tcPr>
          <w:p>
            <w:pPr>
              <w:spacing w:before="0" w:after="3" w:lineRule="auto"/>
              <w:jc w:val="center"/>
            </w:pPr>
            <w:r>
              <w:rPr>
                <w:rFonts w:hint="eastAsia" w:ascii="宋体" w:hAnsi="宋体"/>
                <w:bCs/>
                <w:color w:val="000000"/>
                <w:sz w:val="22"/>
                <w:szCs w:val="22"/>
              </w:rPr>
              <w:t>5</w:t>
            </w:r>
          </w:p>
        </w:tc>
        <w:tc>
          <w:tcPr>
            <w:tcW w:w="800" w:type="dxa"/>
            <w:vAlign w:val="center"/>
          </w:tcPr>
          <w:p>
            <w:pPr>
              <w:spacing w:before="0" w:after="3" w:lineRule="auto"/>
              <w:jc w:val="center"/>
            </w:pPr>
            <w:r>
              <w:rPr>
                <w:rFonts w:hint="eastAsia" w:ascii="宋体" w:hAnsi="宋体"/>
                <w:bCs/>
                <w:color w:val="000000"/>
                <w:sz w:val="22"/>
                <w:szCs w:val="22"/>
              </w:rPr>
              <w:t>5</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6.2.5</w:t>
            </w:r>
          </w:p>
        </w:tc>
        <w:tc>
          <w:tcPr>
            <w:tcW w:w="5000" w:type="dxa"/>
            <w:vAlign w:val="center"/>
          </w:tcPr>
          <w:p>
            <w:pPr>
              <w:spacing w:before="0" w:after="3" w:lineRule="auto"/>
              <w:jc w:val="left"/>
            </w:pPr>
            <w:r>
              <w:rPr>
                <w:rFonts w:hint="eastAsia" w:ascii="宋体" w:hAnsi="宋体"/>
                <w:bCs/>
                <w:color w:val="000000"/>
                <w:sz w:val="22"/>
                <w:szCs w:val="22"/>
              </w:rPr>
              <w:t>合理设置健身场地和空间</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3</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7.2.1</w:t>
            </w:r>
          </w:p>
        </w:tc>
        <w:tc>
          <w:tcPr>
            <w:tcW w:w="5000" w:type="dxa"/>
            <w:vAlign w:val="center"/>
          </w:tcPr>
          <w:p>
            <w:pPr>
              <w:spacing w:before="0" w:after="3" w:lineRule="auto"/>
              <w:jc w:val="left"/>
            </w:pPr>
            <w:r>
              <w:rPr>
                <w:rFonts w:hint="eastAsia" w:ascii="宋体" w:hAnsi="宋体"/>
                <w:bCs/>
                <w:color w:val="000000"/>
                <w:sz w:val="22"/>
                <w:szCs w:val="22"/>
              </w:rPr>
              <w:t>节约集约利用土地</w:t>
            </w:r>
          </w:p>
        </w:tc>
        <w:tc>
          <w:tcPr>
            <w:tcW w:w="800" w:type="dxa"/>
            <w:vAlign w:val="center"/>
          </w:tcPr>
          <w:p>
            <w:pPr>
              <w:spacing w:before="0" w:after="3" w:lineRule="auto"/>
              <w:jc w:val="center"/>
            </w:pPr>
            <w:r>
              <w:rPr>
                <w:rFonts w:hint="eastAsia" w:ascii="宋体" w:hAnsi="宋体"/>
                <w:bCs/>
                <w:color w:val="000000"/>
                <w:sz w:val="22"/>
                <w:szCs w:val="22"/>
              </w:rPr>
              <w:t>20</w:t>
            </w:r>
          </w:p>
        </w:tc>
        <w:tc>
          <w:tcPr>
            <w:tcW w:w="800" w:type="dxa"/>
            <w:vAlign w:val="center"/>
          </w:tcPr>
          <w:p>
            <w:pPr>
              <w:spacing w:before="0" w:after="3" w:lineRule="auto"/>
              <w:jc w:val="center"/>
            </w:pPr>
            <w:r>
              <w:rPr>
                <w:rFonts w:hint="eastAsia" w:ascii="宋体" w:hAnsi="宋体"/>
                <w:bCs/>
                <w:color w:val="000000"/>
                <w:sz w:val="22"/>
                <w:szCs w:val="22"/>
              </w:rPr>
              <w:t>16</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7.2.2</w:t>
            </w:r>
          </w:p>
        </w:tc>
        <w:tc>
          <w:tcPr>
            <w:tcW w:w="5000" w:type="dxa"/>
            <w:vAlign w:val="center"/>
          </w:tcPr>
          <w:p>
            <w:pPr>
              <w:spacing w:before="0" w:after="3" w:lineRule="auto"/>
              <w:jc w:val="left"/>
            </w:pPr>
            <w:r>
              <w:rPr>
                <w:rFonts w:hint="eastAsia" w:ascii="宋体" w:hAnsi="宋体"/>
                <w:bCs/>
                <w:color w:val="000000"/>
                <w:sz w:val="22"/>
                <w:szCs w:val="22"/>
              </w:rPr>
              <w:t>合理开发利用地下空间。</w:t>
            </w:r>
          </w:p>
        </w:tc>
        <w:tc>
          <w:tcPr>
            <w:tcW w:w="800" w:type="dxa"/>
            <w:vAlign w:val="center"/>
          </w:tcPr>
          <w:p>
            <w:pPr>
              <w:spacing w:before="0" w:after="3" w:lineRule="auto"/>
              <w:jc w:val="center"/>
            </w:pPr>
            <w:r>
              <w:rPr>
                <w:rFonts w:hint="eastAsia" w:ascii="宋体" w:hAnsi="宋体"/>
                <w:bCs/>
                <w:color w:val="000000"/>
                <w:sz w:val="22"/>
                <w:szCs w:val="22"/>
              </w:rPr>
              <w:t>12</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7.2.3</w:t>
            </w:r>
          </w:p>
        </w:tc>
        <w:tc>
          <w:tcPr>
            <w:tcW w:w="5000" w:type="dxa"/>
            <w:vAlign w:val="center"/>
          </w:tcPr>
          <w:p>
            <w:pPr>
              <w:spacing w:before="0" w:after="3" w:lineRule="auto"/>
              <w:jc w:val="left"/>
            </w:pPr>
            <w:r>
              <w:rPr>
                <w:rFonts w:hint="eastAsia" w:ascii="宋体" w:hAnsi="宋体"/>
                <w:bCs/>
                <w:color w:val="000000"/>
                <w:sz w:val="22"/>
                <w:szCs w:val="22"/>
              </w:rPr>
              <w:t>采用机械式停车设施、地下停车库或地面停车楼等方式</w:t>
            </w:r>
          </w:p>
        </w:tc>
        <w:tc>
          <w:tcPr>
            <w:tcW w:w="800" w:type="dxa"/>
            <w:vAlign w:val="center"/>
          </w:tcPr>
          <w:p>
            <w:pPr>
              <w:spacing w:before="0" w:after="3" w:lineRule="auto"/>
              <w:jc w:val="center"/>
            </w:pPr>
            <w:r>
              <w:rPr>
                <w:rFonts w:hint="eastAsia" w:ascii="宋体" w:hAnsi="宋体"/>
                <w:bCs/>
                <w:color w:val="000000"/>
                <w:sz w:val="22"/>
                <w:szCs w:val="22"/>
              </w:rPr>
              <w:t>8</w:t>
            </w:r>
          </w:p>
        </w:tc>
        <w:tc>
          <w:tcPr>
            <w:tcW w:w="800" w:type="dxa"/>
            <w:vAlign w:val="center"/>
          </w:tcPr>
          <w:p>
            <w:pPr>
              <w:spacing w:before="0" w:after="3" w:lineRule="auto"/>
              <w:jc w:val="center"/>
            </w:pPr>
            <w:r>
              <w:rPr>
                <w:rFonts w:hint="eastAsia" w:ascii="宋体" w:hAnsi="宋体"/>
                <w:bCs/>
                <w:color w:val="000000"/>
                <w:sz w:val="22"/>
                <w:szCs w:val="22"/>
              </w:rPr>
              <w:t>8</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8.2.1</w:t>
            </w:r>
          </w:p>
        </w:tc>
        <w:tc>
          <w:tcPr>
            <w:tcW w:w="5000" w:type="dxa"/>
            <w:vAlign w:val="center"/>
          </w:tcPr>
          <w:p>
            <w:pPr>
              <w:spacing w:before="0" w:after="3" w:lineRule="auto"/>
              <w:jc w:val="left"/>
            </w:pPr>
            <w:r>
              <w:rPr>
                <w:rFonts w:hint="eastAsia" w:ascii="宋体" w:hAnsi="宋体"/>
                <w:bCs/>
                <w:color w:val="000000"/>
                <w:sz w:val="22"/>
                <w:szCs w:val="22"/>
              </w:rPr>
              <w:t>充分保护或修复场地生态环境，合理布局建筑及景观</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8.2.3</w:t>
            </w:r>
          </w:p>
        </w:tc>
        <w:tc>
          <w:tcPr>
            <w:tcW w:w="5000" w:type="dxa"/>
            <w:vAlign w:val="center"/>
          </w:tcPr>
          <w:p>
            <w:pPr>
              <w:spacing w:before="0" w:after="3" w:lineRule="auto"/>
              <w:jc w:val="left"/>
            </w:pPr>
            <w:r>
              <w:rPr>
                <w:rFonts w:hint="eastAsia" w:ascii="宋体" w:hAnsi="宋体"/>
                <w:bCs/>
                <w:color w:val="000000"/>
                <w:sz w:val="22"/>
                <w:szCs w:val="22"/>
              </w:rPr>
              <w:t>充分利用场地空间设置绿化用地</w:t>
            </w:r>
          </w:p>
        </w:tc>
        <w:tc>
          <w:tcPr>
            <w:tcW w:w="800" w:type="dxa"/>
            <w:vAlign w:val="center"/>
          </w:tcPr>
          <w:p>
            <w:pPr>
              <w:spacing w:before="0" w:after="3" w:lineRule="auto"/>
              <w:jc w:val="center"/>
            </w:pPr>
            <w:r>
              <w:rPr>
                <w:rFonts w:hint="eastAsia" w:ascii="宋体" w:hAnsi="宋体"/>
                <w:bCs/>
                <w:color w:val="000000"/>
                <w:sz w:val="22"/>
                <w:szCs w:val="22"/>
              </w:rPr>
              <w:t>16</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hMerge w:val="restart"/>
            <w:shd w:color="auto" w:fill="DCDCDC"/>
            <w:vAlign w:val="center"/>
          </w:tcPr>
          <w:p>
            <w:pPr>
              <w:spacing w:before="0" w:after="3" w:lineRule="auto"/>
              <w:jc w:val="center"/>
            </w:pPr>
            <w:r>
              <w:rPr>
                <w:rFonts w:hint="eastAsia" w:ascii="宋体" w:hAnsi="宋体"/>
                <w:b/>
                <w:bCs/>
                <w:color w:val="000000"/>
                <w:sz w:val="20"/>
                <w:szCs w:val="20"/>
              </w:rPr>
              <w:t/>
            </w:r>
          </w:p>
        </w:tc>
        <w:tc>
          <w:tcPr>
            <w:tcW w:w="800" w:type="dxa"/>
            <w:hMerge w:val="continue"/>
            <w:vAlign w:val="center"/>
          </w:tcPr>
          <w:p>
            <w:pPr>
              <w:spacing w:before="0" w:after="3" w:lineRule="auto"/>
              <w:jc w:val="left"/>
            </w:pPr>
            <w:r>
              <w:rPr>
                <w:rFonts w:hint="eastAsia" w:ascii="宋体" w:hAnsi="宋体"/>
                <w:bCs/>
                <w:color w:val="000000"/>
                <w:sz w:val="22"/>
                <w:szCs w:val="22"/>
              </w:rPr>
              <w:t>8.2.9</w:t>
            </w:r>
          </w:p>
        </w:tc>
        <w:tc>
          <w:tcPr>
            <w:tcW w:w="5000" w:type="dxa"/>
            <w:hMerge w:val="continue"/>
            <w:vAlign w:val="center"/>
          </w:tcPr>
          <w:p>
            <w:pPr>
              <w:spacing w:before="0" w:after="3" w:lineRule="auto"/>
              <w:jc w:val="left"/>
            </w:pPr>
            <w:r>
              <w:rPr>
                <w:rFonts w:hint="eastAsia" w:ascii="宋体" w:hAnsi="宋体"/>
                <w:bCs/>
                <w:color w:val="000000"/>
                <w:sz w:val="22"/>
                <w:szCs w:val="22"/>
              </w:rPr>
              <w:t>采取措施降低热岛强度</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shd w:color="auto" w:fill="DCDCDC"/>
            <w:vAlign w:val="center"/>
          </w:tcPr>
          <w:p>
            <w:pPr>
              <w:spacing w:before="0" w:after="3" w:lineRule="auto"/>
              <w:jc w:val="center"/>
            </w:pPr>
            <w:r>
              <w:rPr>
                <w:rFonts w:hint="eastAsia" w:ascii="宋体" w:hAnsi="宋体"/>
                <w:b/>
                <w:bCs/>
                <w:color w:val="000000"/>
                <w:sz w:val="20"/>
                <w:szCs w:val="20"/>
              </w:rPr>
              <w:t>评分项合计</w:t>
            </w:r>
          </w:p>
        </w:tc>
        <w:tc>
          <w:tcPr>
            <w:tcW w:w="800" w:type="dxa"/>
            <w:shd w:color="auto" w:fill="DCDCDC"/>
            <w:vAlign w:val="center"/>
          </w:tcPr>
          <w:p>
            <w:pPr>
              <w:spacing w:before="0" w:after="3" w:lineRule="auto"/>
              <w:jc w:val="center"/>
            </w:pPr>
            <w:r>
              <w:rPr>
                <w:rFonts w:hint="eastAsia" w:ascii="宋体" w:hAnsi="宋体"/>
                <w:b/>
                <w:bCs/>
                <w:color w:val="000000"/>
                <w:sz w:val="20"/>
                <w:szCs w:val="20"/>
              </w:rPr>
              <w:t/>
            </w:r>
          </w:p>
        </w:tc>
        <w:tc>
          <w:tcPr>
            <w:tcW w:w="5000" w:type="dxa"/>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center"/>
            </w:pPr>
            <w:r>
              <w:rPr>
                <w:rFonts w:hint="eastAsia" w:ascii="宋体" w:hAnsi="宋体"/>
                <w:bCs/>
                <w:color w:val="000000"/>
                <w:sz w:val="22"/>
                <w:szCs w:val="22"/>
              </w:rPr>
              <w:t>117</w:t>
            </w:r>
          </w:p>
        </w:tc>
        <w:tc>
          <w:tcPr>
            <w:tcW w:w="800" w:type="dxa"/>
            <w:vAlign w:val="center"/>
          </w:tcPr>
          <w:p>
            <w:pPr>
              <w:spacing w:before="0" w:after="3" w:lineRule="auto"/>
              <w:jc w:val="center"/>
            </w:pPr>
            <w:r>
              <w:rPr>
                <w:rFonts w:hint="eastAsia" w:ascii="宋体" w:hAnsi="宋体"/>
                <w:bCs/>
                <w:color w:val="000000"/>
                <w:sz w:val="22"/>
                <w:szCs w:val="22"/>
              </w:rPr>
              <w:t>83</w:t>
            </w:r>
          </w:p>
        </w:tc>
      </w:tr>
      <w:tr>
        <w:tc>
          <w:tcPr>
            <w:tcW w:w="1000" w:type="dxa"/>
            <w:hMerge w:val="restart"/>
            <w:shd w:color="auto" w:fill="DCDCDC"/>
            <w:vAlign w:val="center"/>
          </w:tcPr>
          <w:p>
            <w:pPr>
              <w:spacing w:before="0" w:after="3" w:lineRule="auto"/>
              <w:jc w:val="center"/>
            </w:pPr>
            <w:r>
              <w:rPr>
                <w:rFonts w:hint="eastAsia" w:ascii="宋体" w:hAnsi="宋体"/>
                <w:b/>
                <w:bCs/>
                <w:color w:val="000000"/>
                <w:sz w:val="20"/>
                <w:szCs w:val="20"/>
              </w:rPr>
              <w:t>加分项</w:t>
            </w:r>
          </w:p>
        </w:tc>
        <w:tc>
          <w:tcPr>
            <w:tcW w:w="800" w:type="dxa"/>
            <w:hMerge w:val="continue"/>
            <w:vAlign w:val="center"/>
          </w:tcPr>
          <w:p>
            <w:pPr>
              <w:spacing w:before="0" w:after="3" w:lineRule="auto"/>
              <w:jc w:val="left"/>
            </w:pPr>
            <w:r>
              <w:rPr>
                <w:rFonts w:hint="eastAsia" w:ascii="宋体" w:hAnsi="宋体"/>
                <w:bCs/>
                <w:color w:val="000000"/>
                <w:sz w:val="22"/>
                <w:szCs w:val="22"/>
              </w:rPr>
              <w:t>9.2.4</w:t>
            </w:r>
          </w:p>
        </w:tc>
        <w:tc>
          <w:tcPr>
            <w:tcW w:w="5000" w:type="dxa"/>
            <w:hMerge w:val="continue"/>
            <w:vAlign w:val="center"/>
          </w:tcPr>
          <w:p>
            <w:pPr>
              <w:spacing w:before="0" w:after="3" w:lineRule="auto"/>
              <w:jc w:val="left"/>
            </w:pPr>
            <w:r>
              <w:rPr>
                <w:rFonts w:hint="eastAsia" w:ascii="宋体" w:hAnsi="宋体"/>
                <w:bCs/>
                <w:color w:val="000000"/>
                <w:sz w:val="22"/>
                <w:szCs w:val="22"/>
              </w:rPr>
              <w:t>场地绿容率不低于 3.0</w:t>
            </w:r>
          </w:p>
        </w:tc>
        <w:tc>
          <w:tcPr>
            <w:tcW w:w="800" w:type="dxa"/>
            <w:vAlign w:val="center"/>
          </w:tcPr>
          <w:p>
            <w:pPr>
              <w:spacing w:before="0" w:after="3" w:lineRule="auto"/>
              <w:jc w:val="center"/>
            </w:pPr>
            <w:r>
              <w:rPr>
                <w:rFonts w:hint="eastAsia" w:ascii="宋体" w:hAnsi="宋体"/>
                <w:bCs/>
                <w:color w:val="000000"/>
                <w:sz w:val="22"/>
                <w:szCs w:val="22"/>
              </w:rPr>
              <w:t>5</w:t>
            </w:r>
          </w:p>
        </w:tc>
        <w:tc>
          <w:tcPr>
            <w:tcW w:w="800" w:type="dxa"/>
            <w:vAlign w:val="center"/>
          </w:tcPr>
          <w:p>
            <w:pPr>
              <w:spacing w:before="0" w:after="3" w:lineRule="auto"/>
              <w:jc w:val="center"/>
            </w:pPr>
            <w:r>
              <w:rPr>
                <w:rFonts w:hint="eastAsia" w:ascii="宋体" w:hAnsi="宋体"/>
                <w:bCs/>
                <w:color w:val="000000"/>
                <w:sz w:val="22"/>
                <w:szCs w:val="22"/>
              </w:rPr>
              <w:t>5</w:t>
            </w:r>
          </w:p>
        </w:tc>
      </w:tr>
      <w:tr>
        <w:tc>
          <w:tcPr>
            <w:tcW w:w="1000" w:type="dxa"/>
            <w:shd w:color="auto" w:fill="DCDCDC"/>
            <w:vAlign w:val="center"/>
          </w:tcPr>
          <w:p>
            <w:pPr>
              <w:spacing w:before="0" w:after="3" w:lineRule="auto"/>
              <w:jc w:val="center"/>
            </w:pPr>
            <w:r>
              <w:rPr>
                <w:rFonts w:hint="eastAsia" w:ascii="宋体" w:hAnsi="宋体"/>
                <w:b/>
                <w:bCs/>
                <w:color w:val="000000"/>
                <w:sz w:val="20"/>
                <w:szCs w:val="20"/>
              </w:rPr>
              <w:t>加分项合计</w:t>
            </w:r>
          </w:p>
        </w:tc>
        <w:tc>
          <w:tcPr>
            <w:tcW w:w="800" w:type="dxa"/>
            <w:shd w:color="auto" w:fill="DCDCDC"/>
            <w:vAlign w:val="center"/>
          </w:tcPr>
          <w:p>
            <w:pPr>
              <w:spacing w:before="0" w:after="3" w:lineRule="auto"/>
              <w:jc w:val="center"/>
            </w:pPr>
            <w:r>
              <w:rPr>
                <w:rFonts w:hint="eastAsia" w:ascii="宋体" w:hAnsi="宋体"/>
                <w:b/>
                <w:bCs/>
                <w:color w:val="000000"/>
                <w:sz w:val="20"/>
                <w:szCs w:val="20"/>
              </w:rPr>
              <w:t/>
            </w:r>
          </w:p>
        </w:tc>
        <w:tc>
          <w:tcPr>
            <w:tcW w:w="5000" w:type="dxa"/>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center"/>
            </w:pPr>
            <w:r>
              <w:rPr>
                <w:rFonts w:hint="eastAsia" w:ascii="宋体" w:hAnsi="宋体"/>
                <w:bCs/>
                <w:color w:val="000000"/>
                <w:sz w:val="22"/>
                <w:szCs w:val="22"/>
              </w:rPr>
              <w:t>5</w:t>
            </w:r>
          </w:p>
        </w:tc>
        <w:tc>
          <w:tcPr>
            <w:tcW w:w="800" w:type="dxa"/>
            <w:vAlign w:val="center"/>
          </w:tcPr>
          <w:p>
            <w:pPr>
              <w:spacing w:before="0" w:after="3" w:lineRule="auto"/>
              <w:jc w:val="center"/>
            </w:pPr>
            <w:r>
              <w:rPr>
                <w:rFonts w:hint="eastAsia" w:ascii="宋体" w:hAnsi="宋体"/>
                <w:bCs/>
                <w:color w:val="000000"/>
                <w:sz w:val="22"/>
                <w:szCs w:val="22"/>
              </w:rPr>
              <w:t>5</w:t>
            </w:r>
          </w:p>
        </w:tc>
      </w:tr>
    </w:tbl>
    <w:sectPr>
      <w:pgSz w:w="11907" w:h="16839" w:code="9"/>
      <w:pgMar w:top="500" w:right="1440" w:bottom="100" w:left="1440"/>
    </w:sectPr>
  </w:body>
</w:document>
</file>

<file path=word/settings.xml><?xml version="1.0" encoding="utf-8"?>
<w:setting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media/document_image_rId3.jpeg" Type="http://schemas.openxmlformats.org/officeDocument/2006/relationships/image" Id="rId3"/>
</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