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807" w:firstLineChars="500"/>
        <w:rPr>
          <w:rFonts w:hint="eastAsia" w:eastAsia="宋体" w:cs="Times New Roman"/>
          <w:b/>
          <w:bCs w:val="0"/>
          <w:color w:val="auto"/>
          <w:kern w:val="44"/>
          <w:sz w:val="36"/>
          <w:szCs w:val="22"/>
          <w:highlight w:val="none"/>
          <w:lang w:val="en-US" w:eastAsia="zh-CN" w:bidi="ar-SA"/>
        </w:rPr>
      </w:pPr>
      <w:r>
        <w:rPr>
          <w:rFonts w:hint="eastAsia" w:eastAsia="宋体" w:cs="Times New Roman"/>
          <w:b/>
          <w:bCs w:val="0"/>
          <w:color w:val="auto"/>
          <w:kern w:val="44"/>
          <w:sz w:val="36"/>
          <w:szCs w:val="22"/>
          <w:highlight w:val="none"/>
          <w:lang w:val="en-US" w:eastAsia="zh-CN" w:bidi="ar-SA"/>
        </w:rPr>
        <w:t>绿色建材应用比例计算表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住房城乡建设部、工业和信息化部出台了《绿色建材评价标识管理办法》、 《促进绿色建材生产和应用行动方案》等一系列文件，旨在加快绿色建材推广应 用，更好地支撑绿色建筑发展。绿色建材的应用比例不宜低于 30%。 绿色建材应用比例应根据按下式计算，并按下表确定得分： P=（S1+S2+S3+S4）/100×100% （7.2.18） 式中： P—绿色建材应用比例； S1—主体结构材料指标实际得分值； S2—围护墙和内隔墙指标实际得分值； S3—装修指标实际得分值； S4—其他指标实际得分值。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outlineLvl w:val="9"/>
        <w:rPr>
          <w:rFonts w:hint="eastAsia" w:ascii="Times New Roman" w:hAnsi="Times New Roman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sz w:val="24"/>
          <w:highlight w:val="none"/>
          <w:lang w:val="en-US" w:eastAsia="zh-CN"/>
        </w:rPr>
        <w:t>设计阶段建议具体绿色建材应用部位如下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，</w:t>
      </w:r>
    </w:p>
    <w:p>
      <w:pPr>
        <w:spacing w:line="360" w:lineRule="auto"/>
        <w:ind w:firstLine="480"/>
        <w:rPr>
          <w:rFonts w:hint="eastAsia" w:cs="Times New Roman"/>
          <w:color w:val="auto"/>
          <w:sz w:val="24"/>
          <w:highlight w:val="none"/>
          <w:lang w:val="en-US" w:eastAsia="zh-CN"/>
        </w:rPr>
      </w:pPr>
    </w:p>
    <w:tbl>
      <w:tblPr>
        <w:tblStyle w:val="5"/>
        <w:tblW w:w="7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797"/>
        <w:gridCol w:w="504"/>
        <w:gridCol w:w="1402"/>
        <w:gridCol w:w="986"/>
        <w:gridCol w:w="933"/>
        <w:gridCol w:w="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工程项目</w:t>
            </w:r>
          </w:p>
        </w:tc>
        <w:tc>
          <w:tcPr>
            <w:tcW w:w="230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 w:val="21"/>
                <w:szCs w:val="22"/>
              </w:rPr>
              <w:t>渝北区大盛镇农村客运站新建工程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default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  <w:lang w:val="en-US" w:eastAsia="zh-CN"/>
              </w:rPr>
              <w:t>站楼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31" w:hRule="atLeast"/>
          <w:jc w:val="center"/>
        </w:trPr>
        <w:tc>
          <w:tcPr>
            <w:tcW w:w="270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评估指标</w:t>
            </w:r>
          </w:p>
        </w:tc>
        <w:tc>
          <w:tcPr>
            <w:tcW w:w="504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计量单位</w:t>
            </w:r>
          </w:p>
        </w:tc>
        <w:tc>
          <w:tcPr>
            <w:tcW w:w="1402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应用比例要求</w:t>
            </w:r>
          </w:p>
        </w:tc>
        <w:tc>
          <w:tcPr>
            <w:tcW w:w="986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绿色建材应用量</w:t>
            </w:r>
          </w:p>
        </w:tc>
        <w:tc>
          <w:tcPr>
            <w:tcW w:w="933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建筑材料应用总量</w:t>
            </w:r>
          </w:p>
        </w:tc>
        <w:tc>
          <w:tcPr>
            <w:tcW w:w="878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应用比例%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一级指标</w:t>
            </w: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二级指标</w:t>
            </w:r>
          </w:p>
        </w:tc>
        <w:tc>
          <w:tcPr>
            <w:tcW w:w="504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86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主体结构S1</w:t>
            </w: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预拌混凝土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m³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80%≤PS1a≤100%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281.18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281.18 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预拌砂浆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m³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50%≤PS1b≤100%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3452.65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3452.65 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7" w:hRule="atLeast"/>
          <w:jc w:val="center"/>
        </w:trPr>
        <w:tc>
          <w:tcPr>
            <w:tcW w:w="9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围护墙和内隔墙S2</w:t>
            </w: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非承重围护墙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m³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PS2a≥80%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2907.61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2907.61 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4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内隔墙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m³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PS2b≥80%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944" w:hRule="atLeast"/>
          <w:jc w:val="center"/>
        </w:trPr>
        <w:tc>
          <w:tcPr>
            <w:tcW w:w="9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装修S3</w:t>
            </w: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外墙装饰面层涂料、面砖、非玻璃幕墙板等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PS3a≥80%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10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内墙装饰面层涂料、面砖、壁纸等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PS3b≥80%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56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室内顶棚装饰面层涂料、吊顶等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PS3c≥80%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16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室内地面装饰面层木地板、面砖等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PS3d≥80%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17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门窗、玻璃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PS3e≥80%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  <w:lang w:val="en-US" w:eastAsia="zh-CN"/>
              </w:rPr>
              <w:t>591.3</w:t>
            </w: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default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  <w:lang w:val="en-US" w:eastAsia="zh-CN"/>
              </w:rPr>
              <w:t>591.3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24" w:hRule="atLeast"/>
          <w:jc w:val="center"/>
        </w:trPr>
        <w:tc>
          <w:tcPr>
            <w:tcW w:w="909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其他S4</w:t>
            </w: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保温材料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80%≤PS4a≤100%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34526.50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 xml:space="preserve">34526.50 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13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卫生洁具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具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PS4b≥80%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bookmarkStart w:id="1" w:name="_GoBack"/>
            <w:bookmarkEnd w:id="1"/>
          </w:p>
        </w:tc>
        <w:tc>
          <w:tcPr>
            <w:tcW w:w="878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54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防水材料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m2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PS4c≥80%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 xml:space="preserve">8631.63 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 xml:space="preserve">8631.63 </w:t>
            </w: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483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密封材料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kg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PS4d≥80%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351" w:hRule="atLeast"/>
          <w:jc w:val="center"/>
        </w:trPr>
        <w:tc>
          <w:tcPr>
            <w:tcW w:w="909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1797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其他</w:t>
            </w:r>
          </w:p>
        </w:tc>
        <w:tc>
          <w:tcPr>
            <w:tcW w:w="504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—</w:t>
            </w:r>
          </w:p>
        </w:tc>
        <w:tc>
          <w:tcPr>
            <w:tcW w:w="1402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PS4e≥80%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  <w:tc>
          <w:tcPr>
            <w:tcW w:w="878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909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绿色建材应用比例</w:t>
            </w:r>
          </w:p>
        </w:tc>
        <w:tc>
          <w:tcPr>
            <w:tcW w:w="370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P= [(S1+S2+S3+S4)/100]*100%</w:t>
            </w:r>
          </w:p>
        </w:tc>
        <w:tc>
          <w:tcPr>
            <w:tcW w:w="2797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Lines="0" w:afterLines="0" w:line="240" w:lineRule="auto"/>
              <w:ind w:firstLine="0" w:firstLineChars="0"/>
              <w:jc w:val="center"/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highlight w:val="none"/>
                <w:lang w:val="en-US" w:eastAsia="zh-CN"/>
              </w:rPr>
              <w:t>60</w:t>
            </w:r>
            <w:r>
              <w:rPr>
                <w:rFonts w:hint="eastAsia" w:ascii="Times New Roman" w:hAnsi="Times New Roman"/>
                <w:color w:val="auto"/>
                <w:kern w:val="0"/>
                <w:sz w:val="21"/>
                <w:highlight w:val="none"/>
                <w:lang w:val="en-US" w:eastAsia="zh-CN"/>
              </w:rPr>
              <w:t>%</w:t>
            </w:r>
          </w:p>
        </w:tc>
      </w:tr>
    </w:tbl>
    <w:p>
      <w:pPr>
        <w:spacing w:line="360" w:lineRule="auto"/>
        <w:ind w:firstLine="480"/>
        <w:rPr>
          <w:rFonts w:hint="eastAsia" w:cs="Times New Roman"/>
          <w:color w:val="auto"/>
          <w:sz w:val="24"/>
          <w:highlight w:val="none"/>
          <w:lang w:val="en-US" w:eastAsia="zh-CN"/>
        </w:rPr>
      </w:pPr>
      <w:r>
        <w:rPr>
          <w:rFonts w:hint="eastAsia" w:cs="Times New Roman"/>
          <w:color w:val="auto"/>
          <w:sz w:val="24"/>
          <w:highlight w:val="none"/>
          <w:lang w:val="en-US" w:eastAsia="zh-CN"/>
        </w:rPr>
        <w:t>综上所述，</w:t>
      </w:r>
      <w:r>
        <w:rPr>
          <w:rFonts w:hint="eastAsia" w:ascii="Times New Roman" w:hAnsi="Times New Roman" w:cs="Times New Roman"/>
          <w:color w:val="auto"/>
          <w:sz w:val="24"/>
          <w:highlight w:val="none"/>
          <w:lang w:val="en-US" w:eastAsia="zh-CN"/>
        </w:rPr>
        <w:t>绿色建材的应用比例不低于60%</w:t>
      </w:r>
      <w:r>
        <w:rPr>
          <w:rFonts w:hint="eastAsia" w:cs="Times New Roman"/>
          <w:color w:val="auto"/>
          <w:sz w:val="24"/>
          <w:highlight w:val="none"/>
          <w:lang w:val="en-US" w:eastAsia="zh-CN"/>
        </w:rPr>
        <w:t>。</w:t>
      </w:r>
    </w:p>
    <w:p>
      <w:bookmarkStart w:id="0" w:name="_Toc1687"/>
      <w:r>
        <w:rPr>
          <w:rFonts w:hint="eastAsia" w:eastAsia="宋体" w:cs="Times New Roman"/>
          <w:b/>
          <w:bCs w:val="0"/>
          <w:color w:val="auto"/>
          <w:kern w:val="44"/>
          <w:sz w:val="36"/>
          <w:szCs w:val="22"/>
          <w:highlight w:val="none"/>
          <w:lang w:val="en-US" w:eastAsia="zh-CN" w:bidi="ar-SA"/>
        </w:rPr>
        <w:br w:type="page"/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4OGFiMjUyZDE4NmIyYWIxZmM0ZjkyMWZjZWU1NzgifQ=="/>
  </w:docVars>
  <w:rsids>
    <w:rsidRoot w:val="625B317E"/>
    <w:rsid w:val="625B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48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spacing w:before="156" w:beforeLines="50" w:after="156" w:afterLines="50"/>
      <w:ind w:firstLine="0" w:firstLineChars="0"/>
      <w:jc w:val="left"/>
      <w:outlineLvl w:val="1"/>
    </w:pPr>
    <w:rPr>
      <w:rFonts w:eastAsia="黑体"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beforeLines="0" w:afterLines="0"/>
      <w:ind w:firstLine="210"/>
    </w:pPr>
    <w:rPr>
      <w:rFonts w:hint="eastAsia" w:ascii="Calibri" w:hAnsi="Calibri"/>
      <w:sz w:val="21"/>
      <w:szCs w:val="24"/>
    </w:rPr>
  </w:style>
  <w:style w:type="paragraph" w:styleId="3">
    <w:name w:val="Body Text Indent"/>
    <w:basedOn w:val="1"/>
    <w:unhideWhenUsed/>
    <w:qFormat/>
    <w:uiPriority w:val="99"/>
    <w:pPr>
      <w:ind w:firstLine="640" w:firstLineChars="200"/>
    </w:pPr>
    <w:rPr>
      <w:rFonts w:ascii="仿宋_GB2312" w:eastAsia="仿宋_GB2312" w:cs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2023-02-11T08:36:00Z</dcterms:created>
  <dc:creator>青柠</dc:creator>
  <cp:lastModifiedBy>青柠</cp:lastModifiedBy>
  <dcterms:modified xsi:type="dcterms:W3CDTF">2023-02-11T08:56:07Z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82151BA8C40B4329A1A02E37AC8BA8E2</vt:lpwstr>
  </property>
</Properties>
</file>