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A95DC">
      <w:pPr>
        <w:pStyle w:val="2"/>
        <w:spacing w:line="288" w:lineRule="auto"/>
        <w:jc w:val="center"/>
      </w:pPr>
      <w:r>
        <w:rPr>
          <w:rFonts w:hint="eastAsia" w:ascii="微软雅黑" w:hAnsi="微软雅黑" w:eastAsia="微软雅黑"/>
          <w:b/>
          <w:sz w:val="40"/>
        </w:rPr>
        <w:t>华北地区河北廊坊市三河市燕郊宿舍楼建筑设备自控系统使用说明书</w:t>
      </w:r>
    </w:p>
    <w:p w14:paraId="7EB05AC6">
      <w:pPr>
        <w:spacing w:line="240" w:lineRule="auto"/>
      </w:pPr>
      <w:bookmarkStart w:id="0" w:name="_GoBack"/>
      <w:r>
        <w:drawing>
          <wp:inline distT="0" distB="0" distL="0" distR="0">
            <wp:extent cx="5090160" cy="3025140"/>
            <wp:effectExtent l="0" t="0" r="571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090160" cy="3025140"/>
                    </a:xfrm>
                    <a:prstGeom prst="rect">
                      <a:avLst/>
                    </a:prstGeom>
                  </pic:spPr>
                </pic:pic>
              </a:graphicData>
            </a:graphic>
          </wp:inline>
        </w:drawing>
      </w:r>
      <w:bookmarkEnd w:id="0"/>
    </w:p>
    <w:p w14:paraId="7712235E">
      <w:pPr>
        <w:spacing w:line="288" w:lineRule="auto"/>
        <w:ind w:firstLine="480" w:firstLineChars="200"/>
        <w:jc w:val="both"/>
      </w:pPr>
      <w:r>
        <w:rPr>
          <w:rFonts w:hint="eastAsia" w:ascii="微软雅黑" w:hAnsi="微软雅黑" w:eastAsia="微软雅黑"/>
          <w:sz w:val="24"/>
        </w:rPr>
        <w:t>华北地区河北廊坊市三河市燕郊宿舍楼，作为现代化居住设施的代表，其建筑设备自控系统的引入标志着居住管理向智能化、高效化迈进的重要一步。该系统集成了先进的自动化控制技术，旨在实现对宿舍楼内各类建筑设备的精准管理与高效调控。从照明、空调到给排水、消防，每一环节均被纳入智能化管理的范畴，旨在提升居住舒适度与能源利用效率。本使用说明书旨在全面介绍该自控系统的构成、安装、操作及维护要点，为管理人员提供详尽的操作指南，确保系统稳定运行，为居民创造更加安全、便捷、节能的居住环境。</w:t>
      </w:r>
    </w:p>
    <w:p w14:paraId="66CCF5B5">
      <w:pPr>
        <w:pStyle w:val="3"/>
        <w:spacing w:line="288" w:lineRule="auto"/>
      </w:pPr>
      <w:r>
        <w:rPr>
          <w:rFonts w:hint="eastAsia" w:ascii="微软雅黑" w:hAnsi="微软雅黑" w:eastAsia="微软雅黑"/>
          <w:b/>
          <w:sz w:val="36"/>
        </w:rPr>
        <w:t>系统概述</w:t>
      </w:r>
    </w:p>
    <w:p w14:paraId="297F9250">
      <w:pPr>
        <w:pStyle w:val="4"/>
        <w:spacing w:line="288" w:lineRule="auto"/>
      </w:pPr>
      <w:r>
        <w:rPr>
          <w:rFonts w:hint="eastAsia" w:ascii="微软雅黑" w:hAnsi="微软雅黑" w:eastAsia="微软雅黑"/>
          <w:sz w:val="36"/>
        </w:rPr>
        <w:t>建筑设备自控系统简介</w:t>
      </w:r>
    </w:p>
    <w:p w14:paraId="2002ADF4">
      <w:pPr>
        <w:spacing w:line="288" w:lineRule="auto"/>
        <w:ind w:firstLine="480" w:firstLineChars="200"/>
        <w:jc w:val="both"/>
      </w:pPr>
      <w:r>
        <w:rPr>
          <w:rFonts w:hint="eastAsia" w:ascii="微软雅黑" w:hAnsi="微软雅黑" w:eastAsia="微软雅黑"/>
          <w:sz w:val="24"/>
        </w:rPr>
        <w:t>建筑设备自控系统（Building Automation System，简称BAS）是一种集成了现代控制理论、计算机网络技术、传感器技术以及人工智能算法的智能化、网络化、自动化的管理系统。在燕郊宿舍楼中，该系统通过集成监控、控制和管理各类建筑设备（如空调、通风、照明、电梯、消防、给排水等），实现了对宿舍楼内环境、能源使用以及安全状况的全面自动化管理。BAS系统的目标在于提高建筑的运营效率，降低能耗，同时确保居住者的舒适度与安全。</w:t>
      </w:r>
    </w:p>
    <w:p w14:paraId="5B74C6EF">
      <w:pPr>
        <w:pStyle w:val="4"/>
        <w:spacing w:line="288" w:lineRule="auto"/>
      </w:pPr>
      <w:r>
        <w:rPr>
          <w:rFonts w:hint="eastAsia" w:ascii="微软雅黑" w:hAnsi="微软雅黑" w:eastAsia="微软雅黑"/>
          <w:sz w:val="36"/>
        </w:rPr>
        <w:t>系统组成与架构</w:t>
      </w:r>
    </w:p>
    <w:p w14:paraId="267658B7">
      <w:pPr>
        <w:spacing w:line="288" w:lineRule="auto"/>
        <w:ind w:firstLine="480" w:firstLineChars="200"/>
        <w:jc w:val="both"/>
      </w:pPr>
      <w:r>
        <w:rPr>
          <w:rFonts w:hint="eastAsia" w:ascii="微软雅黑" w:hAnsi="微软雅黑" w:eastAsia="微软雅黑"/>
          <w:sz w:val="24"/>
        </w:rPr>
        <w:t>本系统主要由以下四个部分组成：</w:t>
      </w:r>
    </w:p>
    <w:p w14:paraId="12AB2CED">
      <w:pPr>
        <w:numPr>
          <w:ilvl w:val="0"/>
          <w:numId w:val="1"/>
        </w:numPr>
        <w:spacing w:line="240" w:lineRule="auto"/>
        <w:rPr>
          <w:color w:val="000000"/>
          <w:sz w:val="24"/>
        </w:rPr>
      </w:pPr>
      <w:r>
        <w:rPr>
          <w:rFonts w:hint="eastAsia" w:ascii="微软雅黑" w:hAnsi="微软雅黑" w:eastAsia="微软雅黑"/>
          <w:color w:val="000000"/>
          <w:sz w:val="24"/>
        </w:rPr>
        <w:t>中央监控站：作为系统的“大脑”和核心部件，负责接收现场控制器传输的数据，进行集中处理和分析，并根据预设的控制策略下发相应的指令到各个现场控制器或执行器，实现整个系统的监控和控制。</w:t>
      </w:r>
    </w:p>
    <w:p w14:paraId="4E0C91E8">
      <w:pPr>
        <w:numPr>
          <w:ilvl w:val="0"/>
          <w:numId w:val="1"/>
        </w:numPr>
        <w:spacing w:line="240" w:lineRule="auto"/>
        <w:rPr>
          <w:color w:val="000000"/>
          <w:sz w:val="24"/>
        </w:rPr>
      </w:pPr>
      <w:r>
        <w:rPr>
          <w:rFonts w:hint="eastAsia" w:ascii="微软雅黑" w:hAnsi="微软雅黑" w:eastAsia="微软雅黑"/>
          <w:color w:val="000000"/>
          <w:sz w:val="24"/>
        </w:rPr>
        <w:t>现场控制器：分散部署于燕郊宿舍楼各关键区域（如空调机房、电梯间、消防控制室等），负责实时采集现场各种设备的工作状态和参数数据（如温度、湿度、压力、流量等），并通过通信网络将数据传输到中央监控站。同时，现场控制器还执行中央监控站下发的指令，对相关设备进行联控或独立控制。</w:t>
      </w:r>
    </w:p>
    <w:p w14:paraId="5FBA1640">
      <w:pPr>
        <w:numPr>
          <w:ilvl w:val="0"/>
          <w:numId w:val="1"/>
        </w:numPr>
        <w:spacing w:line="240" w:lineRule="auto"/>
        <w:rPr>
          <w:color w:val="000000"/>
          <w:sz w:val="24"/>
        </w:rPr>
      </w:pPr>
      <w:r>
        <w:rPr>
          <w:rFonts w:hint="eastAsia" w:ascii="微软雅黑" w:hAnsi="微软雅黑" w:eastAsia="微软雅黑"/>
          <w:color w:val="000000"/>
          <w:sz w:val="24"/>
        </w:rPr>
        <w:t>传感器与执行器：作为系统的“感官”和“肌肉”，分别负责感知环境变化和执行控制动作。传感器实时监测宿舍楼内的环境参数（如温度、湿度、CO2浓度等），并将信号传输至现场控制器或中央监控站。执行器则根据接收到的指令，驱动相应的建筑设备进行工作或调整（如调节空调温度、控制灯光亮度等）。</w:t>
      </w:r>
    </w:p>
    <w:p w14:paraId="67451374">
      <w:pPr>
        <w:numPr>
          <w:ilvl w:val="0"/>
          <w:numId w:val="1"/>
        </w:numPr>
        <w:spacing w:line="240" w:lineRule="auto"/>
        <w:rPr>
          <w:color w:val="000000"/>
          <w:sz w:val="24"/>
        </w:rPr>
      </w:pPr>
      <w:r>
        <w:rPr>
          <w:rFonts w:hint="eastAsia" w:ascii="微软雅黑" w:hAnsi="微软雅黑" w:eastAsia="微软雅黑"/>
          <w:color w:val="000000"/>
          <w:sz w:val="24"/>
        </w:rPr>
        <w:t>通信网络：由各种通信线路和设备组成，确保了信息的实时传输。在燕郊宿舍楼中，通信网络采用先进的计算机网络技术，实现数据的实时传输和远程监控。同时，通信网络还具备故障诊断和预警功能，一旦出现通信故障或设备异常，系统能够及时发出警报并采取相应的应急措施。</w:t>
      </w:r>
    </w:p>
    <w:p w14:paraId="7EBB1413">
      <w:pPr>
        <w:numPr>
          <w:ilvl w:val="0"/>
          <w:numId w:val="1"/>
        </w:numPr>
        <w:spacing w:line="240" w:lineRule="auto"/>
        <w:rPr>
          <w:color w:val="000000"/>
          <w:sz w:val="24"/>
        </w:rPr>
      </w:pPr>
      <w:r>
        <w:rPr>
          <w:rFonts w:hint="eastAsia" w:ascii="微软雅黑" w:hAnsi="微软雅黑" w:eastAsia="微软雅黑"/>
          <w:color w:val="000000"/>
          <w:sz w:val="24"/>
        </w:rPr>
        <w:t>电源与辅助设备：为整个系统提供稳定可靠的能源支持。电源包括各种电源设备（如UPS不间断电源、发电机组等），辅助设备包括各种配套设施（如电缆、接线端子、开关柜等）。这些设备为系统的正常运行提供稳定可靠的电力保障。</w:t>
      </w:r>
    </w:p>
    <w:p w14:paraId="42E14FCA">
      <w:pPr>
        <w:spacing w:line="288" w:lineRule="auto"/>
        <w:ind w:firstLine="480" w:firstLineChars="200"/>
        <w:jc w:val="both"/>
      </w:pPr>
      <w:r>
        <w:rPr>
          <w:rFonts w:hint="eastAsia" w:ascii="微软雅黑" w:hAnsi="微软雅黑" w:eastAsia="微软雅黑"/>
          <w:sz w:val="24"/>
        </w:rPr>
        <w:t>主要功能与应用</w:t>
      </w:r>
    </w:p>
    <w:p w14:paraId="1577FB35">
      <w:pPr>
        <w:spacing w:line="288" w:lineRule="auto"/>
        <w:ind w:firstLine="480" w:firstLineChars="200"/>
        <w:jc w:val="both"/>
      </w:pPr>
      <w:r>
        <w:rPr>
          <w:rFonts w:hint="eastAsia" w:ascii="微软雅黑" w:hAnsi="微软雅黑" w:eastAsia="微软雅黑"/>
          <w:sz w:val="24"/>
        </w:rPr>
        <w:t>BAS系统具备多种功能，其在燕郊宿舍楼中的应用主要体现在以下几个方面：</w:t>
      </w:r>
    </w:p>
    <w:p w14:paraId="53B563C9">
      <w:pPr>
        <w:numPr>
          <w:ilvl w:val="0"/>
          <w:numId w:val="2"/>
        </w:numPr>
        <w:spacing w:line="240" w:lineRule="auto"/>
        <w:rPr>
          <w:color w:val="000000"/>
          <w:sz w:val="24"/>
        </w:rPr>
      </w:pPr>
      <w:r>
        <w:rPr>
          <w:rFonts w:hint="eastAsia" w:ascii="微软雅黑" w:hAnsi="微软雅黑" w:eastAsia="微软雅黑"/>
          <w:color w:val="000000"/>
          <w:sz w:val="24"/>
        </w:rPr>
        <w:t>环境监测：实时监测宿舍楼内的环境参数（如温度、湿度、光照强度等），确保居住舒适度。同时，通过对环境数据的分析，优化能源使用，减少浪费。</w:t>
      </w:r>
    </w:p>
    <w:p w14:paraId="0DDA233F">
      <w:pPr>
        <w:numPr>
          <w:ilvl w:val="0"/>
          <w:numId w:val="2"/>
        </w:numPr>
        <w:spacing w:line="240" w:lineRule="auto"/>
        <w:rPr>
          <w:color w:val="000000"/>
          <w:sz w:val="24"/>
        </w:rPr>
      </w:pPr>
      <w:r>
        <w:rPr>
          <w:rFonts w:hint="eastAsia" w:ascii="微软雅黑" w:hAnsi="微软雅黑" w:eastAsia="微软雅黑"/>
          <w:color w:val="000000"/>
          <w:sz w:val="24"/>
        </w:rPr>
        <w:t>能源管理：对宿舍楼内的能源使用情况进行实时监控和管理，优化能源供应，降低能源消耗。通过智能控制算法，实现能源的合理分配和高效利用。</w:t>
      </w:r>
    </w:p>
    <w:p w14:paraId="6985C0B8">
      <w:pPr>
        <w:numPr>
          <w:ilvl w:val="0"/>
          <w:numId w:val="2"/>
        </w:numPr>
        <w:spacing w:line="240" w:lineRule="auto"/>
        <w:rPr>
          <w:color w:val="000000"/>
          <w:sz w:val="24"/>
        </w:rPr>
      </w:pPr>
      <w:r>
        <w:rPr>
          <w:rFonts w:hint="eastAsia" w:ascii="微软雅黑" w:hAnsi="微软雅黑" w:eastAsia="微软雅黑"/>
          <w:color w:val="000000"/>
          <w:sz w:val="24"/>
        </w:rPr>
        <w:t>设备控制：对电梯、消防、给排水等关键设备进行远程监控和控制。通过预设的控制策略和智能调度算法，实现对设备的自动化管理和优化运行。</w:t>
      </w:r>
    </w:p>
    <w:p w14:paraId="51C32CCF">
      <w:pPr>
        <w:numPr>
          <w:ilvl w:val="0"/>
          <w:numId w:val="2"/>
        </w:numPr>
        <w:spacing w:line="240" w:lineRule="auto"/>
        <w:rPr>
          <w:color w:val="000000"/>
          <w:sz w:val="24"/>
        </w:rPr>
      </w:pPr>
      <w:r>
        <w:rPr>
          <w:rFonts w:hint="eastAsia" w:ascii="微软雅黑" w:hAnsi="微软雅黑" w:eastAsia="微软雅黑"/>
          <w:color w:val="000000"/>
          <w:sz w:val="24"/>
        </w:rPr>
        <w:t>故障诊断与预警：实时监测设备的工作状态和参数变化，一旦出现故障或异常情况，系统能够及时发出警报并采取相应的应急措施。同时，系统还具备故障诊断功能，能够帮助维护人员快速定位故障原因并采取相应的维修措施。</w:t>
      </w:r>
    </w:p>
    <w:p w14:paraId="055AD24B">
      <w:pPr>
        <w:numPr>
          <w:ilvl w:val="0"/>
          <w:numId w:val="2"/>
        </w:numPr>
        <w:spacing w:line="240" w:lineRule="auto"/>
        <w:rPr>
          <w:color w:val="000000"/>
          <w:sz w:val="24"/>
        </w:rPr>
      </w:pPr>
      <w:r>
        <w:rPr>
          <w:rFonts w:hint="eastAsia" w:ascii="微软雅黑" w:hAnsi="微软雅黑" w:eastAsia="微软雅黑"/>
          <w:color w:val="000000"/>
          <w:sz w:val="24"/>
        </w:rPr>
        <w:t>集成管理：将各个子系统集成在一起进行统一管理。通过建立统一的管理平台和数据共享机制，实现各个子系统之间的信息共享和协同工作，提高整体管理效率。</w:t>
      </w:r>
    </w:p>
    <w:p w14:paraId="317E8596">
      <w:pPr>
        <w:numPr>
          <w:ilvl w:val="0"/>
          <w:numId w:val="2"/>
        </w:numPr>
        <w:spacing w:line="240" w:lineRule="auto"/>
        <w:rPr>
          <w:color w:val="000000"/>
          <w:sz w:val="24"/>
        </w:rPr>
      </w:pPr>
      <w:r>
        <w:rPr>
          <w:rFonts w:hint="eastAsia" w:ascii="微软雅黑" w:hAnsi="微软雅黑" w:eastAsia="微软雅黑"/>
          <w:color w:val="000000"/>
          <w:sz w:val="24"/>
        </w:rPr>
        <w:t>数据分析与优化：收集并分析环境监测数据、能源使用数据以及设备运行数据等大量信息，经过深度学习、大数据分析等先进技术的处理后，为管理者提供科学决策依据，从而实现对整个宿舍楼运营管理的持续优化。</w:t>
      </w:r>
    </w:p>
    <w:p w14:paraId="1EC58953">
      <w:pPr>
        <w:spacing w:line="288" w:lineRule="auto"/>
        <w:ind w:firstLine="480" w:firstLineChars="200"/>
        <w:jc w:val="both"/>
      </w:pPr>
      <w:r>
        <w:rPr>
          <w:rFonts w:hint="eastAsia" w:ascii="微软雅黑" w:hAnsi="微软雅黑" w:eastAsia="微软雅黑"/>
          <w:sz w:val="24"/>
        </w:rPr>
        <w:t>设备清单与配置</w:t>
      </w:r>
    </w:p>
    <w:p w14:paraId="39DAF0DB">
      <w:pPr>
        <w:pStyle w:val="4"/>
        <w:spacing w:line="288" w:lineRule="auto"/>
      </w:pPr>
      <w:r>
        <w:rPr>
          <w:rFonts w:hint="eastAsia" w:ascii="微软雅黑" w:hAnsi="微软雅黑" w:eastAsia="微软雅黑"/>
          <w:sz w:val="36"/>
        </w:rPr>
        <w:t>自控系统核心设备</w:t>
      </w:r>
    </w:p>
    <w:p w14:paraId="4053DFC1">
      <w:pPr>
        <w:spacing w:line="288" w:lineRule="auto"/>
        <w:ind w:firstLine="480" w:firstLineChars="200"/>
        <w:jc w:val="both"/>
      </w:pPr>
      <w:r>
        <w:rPr>
          <w:rFonts w:hint="eastAsia" w:ascii="微软雅黑" w:hAnsi="微软雅黑" w:eastAsia="微软雅黑"/>
          <w:sz w:val="24"/>
        </w:rPr>
        <w:t>在自控系统的核心架构中，中央监控站服务器承担着整个系统的中枢神经角色，选用国际知名品牌的高性能计算机系统，配置了强大的处理器、充足的内存以及固态硬盘存储，确保系统能够快速处理大量数据和复杂算法，同时配备冗余电源和热插拔硬盘，以保障系统的高可用性和稳定性。现场控制器分布于各个监控区域，直接对接并管理各类传感器和执行器，实时采集现场数据并执行远程控制指令，同样采用国际知名品牌的产品，具备高集成度、智能化的功能模块以及可靠的通信接口。网络交换机是连接各个设备的关键节点，系统采用工业级以太网交换机，支持多协议传输，具备高带宽和低延迟特性，保证数据传输效率和实时监控能力。</w:t>
      </w:r>
    </w:p>
    <w:p w14:paraId="284BDA00">
      <w:pPr>
        <w:spacing w:line="288" w:lineRule="auto"/>
        <w:ind w:firstLineChars="200"/>
        <w:jc w:val="both"/>
      </w:pPr>
    </w:p>
    <w:p w14:paraId="57B38A9E">
      <w:pPr>
        <w:spacing w:line="288" w:lineRule="auto"/>
        <w:ind w:firstLine="480" w:firstLineChars="200"/>
        <w:jc w:val="both"/>
      </w:pPr>
      <w:r>
        <w:rPr>
          <w:rFonts w:hint="eastAsia" w:ascii="微软雅黑" w:hAnsi="微软雅黑" w:eastAsia="微软雅黑"/>
          <w:sz w:val="24"/>
        </w:rPr>
        <w:t>表格：自控系统核心设备清单及配置</w:t>
      </w:r>
    </w:p>
    <w:tbl>
      <w:tblPr>
        <w:tblStyle w:val="11"/>
        <w:tblW w:w="0" w:type="dxa"/>
        <w:tblInd w:w="0" w:type="dxa"/>
        <w:tblLayout w:type="autofit"/>
        <w:tblCellMar>
          <w:top w:w="0" w:type="dxa"/>
          <w:left w:w="108" w:type="dxa"/>
          <w:bottom w:w="0" w:type="dxa"/>
          <w:right w:w="108" w:type="dxa"/>
        </w:tblCellMar>
      </w:tblPr>
      <w:tblGrid>
        <w:gridCol w:w="1131"/>
        <w:gridCol w:w="1693"/>
        <w:gridCol w:w="5687"/>
      </w:tblGrid>
      <w:tr w14:paraId="54E8B38C">
        <w:tblPrEx>
          <w:tblCellMar>
            <w:top w:w="0" w:type="dxa"/>
            <w:left w:w="108" w:type="dxa"/>
            <w:bottom w:w="0" w:type="dxa"/>
            <w:right w:w="108" w:type="dxa"/>
          </w:tblCellMar>
        </w:tblPrEx>
        <w:tc>
          <w:tcPr>
            <w:tcW w:w="1500" w:type="dxa"/>
            <w:tcBorders>
              <w:top w:val="single" w:color="222222" w:sz="6" w:space="0"/>
              <w:left w:val="single" w:color="222222" w:sz="6" w:space="0"/>
              <w:bottom w:val="single" w:color="222222" w:sz="6" w:space="0"/>
              <w:right w:val="single" w:color="222222" w:sz="6" w:space="0"/>
            </w:tcBorders>
          </w:tcPr>
          <w:p w14:paraId="4F3B90CA">
            <w:pPr>
              <w:spacing w:line="288" w:lineRule="auto"/>
              <w:jc w:val="center"/>
            </w:pPr>
            <w:r>
              <w:rPr>
                <w:rFonts w:hint="eastAsia" w:ascii="微软雅黑" w:hAnsi="微软雅黑" w:eastAsia="微软雅黑"/>
                <w:sz w:val="24"/>
              </w:rPr>
              <w:t>设备类别</w:t>
            </w:r>
          </w:p>
        </w:tc>
        <w:tc>
          <w:tcPr>
            <w:tcW w:w="2370" w:type="dxa"/>
            <w:tcBorders>
              <w:top w:val="single" w:color="222222" w:sz="6" w:space="0"/>
              <w:left w:val="single" w:color="222222" w:sz="6" w:space="0"/>
              <w:bottom w:val="single" w:color="222222" w:sz="6" w:space="0"/>
              <w:right w:val="single" w:color="222222" w:sz="6" w:space="0"/>
            </w:tcBorders>
          </w:tcPr>
          <w:p w14:paraId="46939225">
            <w:pPr>
              <w:spacing w:line="288" w:lineRule="auto"/>
              <w:jc w:val="center"/>
            </w:pPr>
            <w:r>
              <w:rPr>
                <w:rFonts w:hint="eastAsia" w:ascii="微软雅黑" w:hAnsi="微软雅黑" w:eastAsia="微软雅黑"/>
                <w:sz w:val="24"/>
              </w:rPr>
              <w:t>设备名称</w:t>
            </w:r>
          </w:p>
        </w:tc>
        <w:tc>
          <w:tcPr>
            <w:tcW w:w="8415" w:type="dxa"/>
            <w:tcBorders>
              <w:top w:val="single" w:color="222222" w:sz="6" w:space="0"/>
              <w:left w:val="single" w:color="222222" w:sz="6" w:space="0"/>
              <w:bottom w:val="single" w:color="222222" w:sz="6" w:space="0"/>
              <w:right w:val="single" w:color="222222" w:sz="6" w:space="0"/>
            </w:tcBorders>
          </w:tcPr>
          <w:p w14:paraId="68DD3B3D">
            <w:pPr>
              <w:spacing w:line="288" w:lineRule="auto"/>
              <w:jc w:val="center"/>
            </w:pPr>
            <w:r>
              <w:rPr>
                <w:rFonts w:hint="eastAsia" w:ascii="微软雅黑" w:hAnsi="微软雅黑" w:eastAsia="微软雅黑"/>
                <w:sz w:val="24"/>
              </w:rPr>
              <w:t>配置描述</w:t>
            </w:r>
          </w:p>
        </w:tc>
      </w:tr>
      <w:tr w14:paraId="63C06B4D">
        <w:tblPrEx>
          <w:tblCellMar>
            <w:top w:w="0" w:type="dxa"/>
            <w:left w:w="108" w:type="dxa"/>
            <w:bottom w:w="0" w:type="dxa"/>
            <w:right w:w="108" w:type="dxa"/>
          </w:tblCellMar>
        </w:tblPrEx>
        <w:tc>
          <w:tcPr>
            <w:tcW w:w="1500" w:type="dxa"/>
            <w:tcBorders>
              <w:top w:val="single" w:color="222222" w:sz="6" w:space="0"/>
              <w:left w:val="single" w:color="222222" w:sz="6" w:space="0"/>
              <w:bottom w:val="single" w:color="222222" w:sz="6" w:space="0"/>
              <w:right w:val="single" w:color="222222" w:sz="6" w:space="0"/>
            </w:tcBorders>
          </w:tcPr>
          <w:p w14:paraId="72937EC2">
            <w:pPr>
              <w:spacing w:line="288" w:lineRule="auto"/>
              <w:jc w:val="center"/>
            </w:pPr>
            <w:r>
              <w:rPr>
                <w:rFonts w:hint="eastAsia" w:ascii="微软雅黑" w:hAnsi="微软雅黑" w:eastAsia="微软雅黑"/>
                <w:sz w:val="24"/>
              </w:rPr>
              <w:t>中央监控站</w:t>
            </w:r>
          </w:p>
        </w:tc>
        <w:tc>
          <w:tcPr>
            <w:tcW w:w="2370" w:type="dxa"/>
            <w:tcBorders>
              <w:top w:val="single" w:color="222222" w:sz="6" w:space="0"/>
              <w:left w:val="single" w:color="222222" w:sz="6" w:space="0"/>
              <w:bottom w:val="single" w:color="222222" w:sz="6" w:space="0"/>
              <w:right w:val="single" w:color="222222" w:sz="6" w:space="0"/>
            </w:tcBorders>
          </w:tcPr>
          <w:p w14:paraId="38AD6B73">
            <w:pPr>
              <w:spacing w:line="288" w:lineRule="auto"/>
              <w:jc w:val="center"/>
            </w:pPr>
            <w:r>
              <w:rPr>
                <w:rFonts w:hint="eastAsia" w:ascii="微软雅黑" w:hAnsi="微软雅黑" w:eastAsia="微软雅黑"/>
                <w:sz w:val="24"/>
              </w:rPr>
              <w:t>服务器</w:t>
            </w:r>
          </w:p>
        </w:tc>
        <w:tc>
          <w:tcPr>
            <w:tcW w:w="8415" w:type="dxa"/>
            <w:tcBorders>
              <w:top w:val="single" w:color="222222" w:sz="6" w:space="0"/>
              <w:left w:val="single" w:color="222222" w:sz="6" w:space="0"/>
              <w:bottom w:val="single" w:color="222222" w:sz="6" w:space="0"/>
              <w:right w:val="single" w:color="222222" w:sz="6" w:space="0"/>
            </w:tcBorders>
          </w:tcPr>
          <w:p w14:paraId="2EC21675">
            <w:pPr>
              <w:spacing w:line="288" w:lineRule="auto"/>
              <w:jc w:val="center"/>
            </w:pPr>
            <w:r>
              <w:rPr>
                <w:rFonts w:hint="eastAsia" w:ascii="微软雅黑" w:hAnsi="微软雅黑" w:eastAsia="微软雅黑"/>
                <w:sz w:val="24"/>
              </w:rPr>
              <w:t>高性能计算机系统，强大处理器，充足内存，固态硬盘存储，冗余电源，热插拔硬盘</w:t>
            </w:r>
          </w:p>
        </w:tc>
      </w:tr>
      <w:tr w14:paraId="4AAA67D3">
        <w:tblPrEx>
          <w:tblCellMar>
            <w:top w:w="0" w:type="dxa"/>
            <w:left w:w="108" w:type="dxa"/>
            <w:bottom w:w="0" w:type="dxa"/>
            <w:right w:w="108" w:type="dxa"/>
          </w:tblCellMar>
        </w:tblPrEx>
        <w:tc>
          <w:tcPr>
            <w:tcW w:w="1500" w:type="dxa"/>
            <w:tcBorders>
              <w:top w:val="single" w:color="222222" w:sz="6" w:space="0"/>
              <w:left w:val="single" w:color="222222" w:sz="6" w:space="0"/>
              <w:bottom w:val="single" w:color="222222" w:sz="6" w:space="0"/>
              <w:right w:val="single" w:color="222222" w:sz="6" w:space="0"/>
            </w:tcBorders>
          </w:tcPr>
          <w:p w14:paraId="2723BDDF">
            <w:pPr>
              <w:spacing w:line="288" w:lineRule="auto"/>
              <w:jc w:val="center"/>
            </w:pPr>
            <w:r>
              <w:rPr>
                <w:rFonts w:hint="eastAsia" w:ascii="微软雅黑" w:hAnsi="微软雅黑" w:eastAsia="微软雅黑"/>
                <w:sz w:val="24"/>
              </w:rPr>
              <w:t>现场控制</w:t>
            </w:r>
          </w:p>
        </w:tc>
        <w:tc>
          <w:tcPr>
            <w:tcW w:w="2370" w:type="dxa"/>
            <w:tcBorders>
              <w:top w:val="single" w:color="222222" w:sz="6" w:space="0"/>
              <w:left w:val="single" w:color="222222" w:sz="6" w:space="0"/>
              <w:bottom w:val="single" w:color="222222" w:sz="6" w:space="0"/>
              <w:right w:val="single" w:color="222222" w:sz="6" w:space="0"/>
            </w:tcBorders>
          </w:tcPr>
          <w:p w14:paraId="584CFBD8">
            <w:pPr>
              <w:spacing w:line="288" w:lineRule="auto"/>
              <w:jc w:val="center"/>
            </w:pPr>
            <w:r>
              <w:rPr>
                <w:rFonts w:hint="eastAsia" w:ascii="微软雅黑" w:hAnsi="微软雅黑" w:eastAsia="微软雅黑"/>
                <w:sz w:val="24"/>
              </w:rPr>
              <w:t>现场控制器</w:t>
            </w:r>
          </w:p>
        </w:tc>
        <w:tc>
          <w:tcPr>
            <w:tcW w:w="8415" w:type="dxa"/>
            <w:tcBorders>
              <w:top w:val="single" w:color="222222" w:sz="6" w:space="0"/>
              <w:left w:val="single" w:color="222222" w:sz="6" w:space="0"/>
              <w:bottom w:val="single" w:color="222222" w:sz="6" w:space="0"/>
              <w:right w:val="single" w:color="222222" w:sz="6" w:space="0"/>
            </w:tcBorders>
          </w:tcPr>
          <w:p w14:paraId="374A4758">
            <w:pPr>
              <w:spacing w:line="288" w:lineRule="auto"/>
              <w:jc w:val="center"/>
            </w:pPr>
            <w:r>
              <w:rPr>
                <w:rFonts w:hint="eastAsia" w:ascii="微软雅黑" w:hAnsi="微软雅黑" w:eastAsia="微软雅黑"/>
                <w:sz w:val="24"/>
              </w:rPr>
              <w:t>国际知名品牌，高集成度，智能化功能模块，可靠通信接口</w:t>
            </w:r>
          </w:p>
        </w:tc>
      </w:tr>
      <w:tr w14:paraId="6D168FAB">
        <w:tblPrEx>
          <w:tblCellMar>
            <w:top w:w="0" w:type="dxa"/>
            <w:left w:w="108" w:type="dxa"/>
            <w:bottom w:w="0" w:type="dxa"/>
            <w:right w:w="108" w:type="dxa"/>
          </w:tblCellMar>
        </w:tblPrEx>
        <w:tc>
          <w:tcPr>
            <w:tcW w:w="1500" w:type="dxa"/>
            <w:tcBorders>
              <w:top w:val="single" w:color="222222" w:sz="6" w:space="0"/>
              <w:left w:val="single" w:color="222222" w:sz="6" w:space="0"/>
              <w:bottom w:val="single" w:color="222222" w:sz="6" w:space="0"/>
              <w:right w:val="single" w:color="222222" w:sz="6" w:space="0"/>
            </w:tcBorders>
          </w:tcPr>
          <w:p w14:paraId="3B83B16E">
            <w:pPr>
              <w:spacing w:line="288" w:lineRule="auto"/>
              <w:jc w:val="center"/>
            </w:pPr>
            <w:r>
              <w:rPr>
                <w:rFonts w:hint="eastAsia" w:ascii="微软雅黑" w:hAnsi="微软雅黑" w:eastAsia="微软雅黑"/>
                <w:sz w:val="24"/>
              </w:rPr>
              <w:t>网络设备</w:t>
            </w:r>
          </w:p>
        </w:tc>
        <w:tc>
          <w:tcPr>
            <w:tcW w:w="2370" w:type="dxa"/>
            <w:tcBorders>
              <w:top w:val="single" w:color="222222" w:sz="6" w:space="0"/>
              <w:left w:val="single" w:color="222222" w:sz="6" w:space="0"/>
              <w:bottom w:val="single" w:color="222222" w:sz="6" w:space="0"/>
              <w:right w:val="single" w:color="222222" w:sz="6" w:space="0"/>
            </w:tcBorders>
          </w:tcPr>
          <w:p w14:paraId="7EC7134A">
            <w:pPr>
              <w:spacing w:line="288" w:lineRule="auto"/>
              <w:jc w:val="center"/>
            </w:pPr>
            <w:r>
              <w:rPr>
                <w:rFonts w:hint="eastAsia" w:ascii="微软雅黑" w:hAnsi="微软雅黑" w:eastAsia="微软雅黑"/>
                <w:sz w:val="24"/>
              </w:rPr>
              <w:t>工业级以太网交换机</w:t>
            </w:r>
          </w:p>
        </w:tc>
        <w:tc>
          <w:tcPr>
            <w:tcW w:w="8415" w:type="dxa"/>
            <w:tcBorders>
              <w:top w:val="single" w:color="222222" w:sz="6" w:space="0"/>
              <w:left w:val="single" w:color="222222" w:sz="6" w:space="0"/>
              <w:bottom w:val="single" w:color="222222" w:sz="6" w:space="0"/>
              <w:right w:val="single" w:color="222222" w:sz="6" w:space="0"/>
            </w:tcBorders>
          </w:tcPr>
          <w:p w14:paraId="0249B8FF">
            <w:pPr>
              <w:spacing w:line="288" w:lineRule="auto"/>
              <w:jc w:val="center"/>
            </w:pPr>
            <w:r>
              <w:rPr>
                <w:rFonts w:hint="eastAsia" w:ascii="微软雅黑" w:hAnsi="微软雅黑" w:eastAsia="微软雅黑"/>
                <w:sz w:val="24"/>
              </w:rPr>
              <w:t>支持多协议传输，高带宽，低延迟</w:t>
            </w:r>
          </w:p>
        </w:tc>
      </w:tr>
    </w:tbl>
    <w:p w14:paraId="0B754BB6">
      <w:pPr>
        <w:spacing w:line="288" w:lineRule="auto"/>
        <w:ind w:firstLineChars="200"/>
        <w:jc w:val="both"/>
      </w:pPr>
    </w:p>
    <w:p w14:paraId="10C3FA6E">
      <w:pPr>
        <w:spacing w:line="288" w:lineRule="auto"/>
        <w:ind w:firstLineChars="200"/>
        <w:jc w:val="both"/>
      </w:pPr>
    </w:p>
    <w:p w14:paraId="11246CA7">
      <w:pPr>
        <w:spacing w:line="288" w:lineRule="auto"/>
        <w:ind w:firstLine="480" w:firstLineChars="200"/>
        <w:jc w:val="both"/>
      </w:pPr>
      <w:r>
        <w:rPr>
          <w:rFonts w:hint="eastAsia" w:ascii="微软雅黑" w:hAnsi="微软雅黑" w:eastAsia="微软雅黑"/>
          <w:sz w:val="24"/>
        </w:rPr>
        <w:t>表格：传感器、执行器及网络与通信设备清单</w:t>
      </w:r>
    </w:p>
    <w:tbl>
      <w:tblPr>
        <w:tblStyle w:val="11"/>
        <w:tblW w:w="0" w:type="dxa"/>
        <w:tblInd w:w="0" w:type="dxa"/>
        <w:tblLayout w:type="autofit"/>
        <w:tblCellMar>
          <w:top w:w="0" w:type="dxa"/>
          <w:left w:w="108" w:type="dxa"/>
          <w:bottom w:w="0" w:type="dxa"/>
          <w:right w:w="108" w:type="dxa"/>
        </w:tblCellMar>
      </w:tblPr>
      <w:tblGrid>
        <w:gridCol w:w="1142"/>
        <w:gridCol w:w="2540"/>
        <w:gridCol w:w="4829"/>
      </w:tblGrid>
      <w:tr w14:paraId="4AC13AB6">
        <w:tblPrEx>
          <w:tblCellMar>
            <w:top w:w="0" w:type="dxa"/>
            <w:left w:w="108" w:type="dxa"/>
            <w:bottom w:w="0" w:type="dxa"/>
            <w:right w:w="108" w:type="dxa"/>
          </w:tblCellMar>
        </w:tblPrEx>
        <w:tc>
          <w:tcPr>
            <w:tcW w:w="1530" w:type="dxa"/>
            <w:tcBorders>
              <w:top w:val="single" w:color="222222" w:sz="6" w:space="0"/>
              <w:left w:val="single" w:color="222222" w:sz="6" w:space="0"/>
              <w:bottom w:val="single" w:color="222222" w:sz="6" w:space="0"/>
              <w:right w:val="single" w:color="222222" w:sz="6" w:space="0"/>
            </w:tcBorders>
          </w:tcPr>
          <w:p w14:paraId="1101D9A1">
            <w:pPr>
              <w:spacing w:line="288" w:lineRule="auto"/>
              <w:jc w:val="center"/>
            </w:pPr>
            <w:r>
              <w:rPr>
                <w:rFonts w:hint="eastAsia" w:ascii="微软雅黑" w:hAnsi="微软雅黑" w:eastAsia="微软雅黑"/>
                <w:sz w:val="24"/>
              </w:rPr>
              <w:t>设备类别</w:t>
            </w:r>
          </w:p>
        </w:tc>
        <w:tc>
          <w:tcPr>
            <w:tcW w:w="3585" w:type="dxa"/>
            <w:tcBorders>
              <w:top w:val="single" w:color="222222" w:sz="6" w:space="0"/>
              <w:left w:val="single" w:color="222222" w:sz="6" w:space="0"/>
              <w:bottom w:val="single" w:color="222222" w:sz="6" w:space="0"/>
              <w:right w:val="single" w:color="222222" w:sz="6" w:space="0"/>
            </w:tcBorders>
          </w:tcPr>
          <w:p w14:paraId="45815513">
            <w:pPr>
              <w:spacing w:line="288" w:lineRule="auto"/>
              <w:jc w:val="center"/>
            </w:pPr>
            <w:r>
              <w:rPr>
                <w:rFonts w:hint="eastAsia" w:ascii="微软雅黑" w:hAnsi="微软雅黑" w:eastAsia="微软雅黑"/>
                <w:sz w:val="24"/>
              </w:rPr>
              <w:t>设备名称</w:t>
            </w:r>
          </w:p>
        </w:tc>
        <w:tc>
          <w:tcPr>
            <w:tcW w:w="7170" w:type="dxa"/>
            <w:tcBorders>
              <w:top w:val="single" w:color="222222" w:sz="6" w:space="0"/>
              <w:left w:val="single" w:color="222222" w:sz="6" w:space="0"/>
              <w:bottom w:val="single" w:color="222222" w:sz="6" w:space="0"/>
              <w:right w:val="single" w:color="222222" w:sz="6" w:space="0"/>
            </w:tcBorders>
          </w:tcPr>
          <w:p w14:paraId="4ADA8976">
            <w:pPr>
              <w:spacing w:line="288" w:lineRule="auto"/>
              <w:jc w:val="center"/>
            </w:pPr>
            <w:r>
              <w:rPr>
                <w:rFonts w:hint="eastAsia" w:ascii="微软雅黑" w:hAnsi="微软雅黑" w:eastAsia="微软雅黑"/>
                <w:sz w:val="24"/>
              </w:rPr>
              <w:t>配置描述</w:t>
            </w:r>
          </w:p>
        </w:tc>
      </w:tr>
      <w:tr w14:paraId="61352E1C">
        <w:tblPrEx>
          <w:tblCellMar>
            <w:top w:w="0" w:type="dxa"/>
            <w:left w:w="108" w:type="dxa"/>
            <w:bottom w:w="0" w:type="dxa"/>
            <w:right w:w="108" w:type="dxa"/>
          </w:tblCellMar>
        </w:tblPrEx>
        <w:tc>
          <w:tcPr>
            <w:tcW w:w="1530" w:type="dxa"/>
            <w:tcBorders>
              <w:top w:val="single" w:color="222222" w:sz="6" w:space="0"/>
              <w:left w:val="single" w:color="222222" w:sz="6" w:space="0"/>
              <w:bottom w:val="single" w:color="222222" w:sz="6" w:space="0"/>
              <w:right w:val="single" w:color="222222" w:sz="6" w:space="0"/>
            </w:tcBorders>
          </w:tcPr>
          <w:p w14:paraId="31B1A84D">
            <w:pPr>
              <w:spacing w:line="288" w:lineRule="auto"/>
              <w:jc w:val="center"/>
            </w:pPr>
            <w:r>
              <w:rPr>
                <w:rFonts w:hint="eastAsia" w:ascii="微软雅黑" w:hAnsi="微软雅黑" w:eastAsia="微软雅黑"/>
                <w:sz w:val="24"/>
              </w:rPr>
              <w:t>传感器</w:t>
            </w:r>
          </w:p>
        </w:tc>
        <w:tc>
          <w:tcPr>
            <w:tcW w:w="3585" w:type="dxa"/>
            <w:tcBorders>
              <w:top w:val="single" w:color="222222" w:sz="6" w:space="0"/>
              <w:left w:val="single" w:color="222222" w:sz="6" w:space="0"/>
              <w:bottom w:val="single" w:color="222222" w:sz="6" w:space="0"/>
              <w:right w:val="single" w:color="222222" w:sz="6" w:space="0"/>
            </w:tcBorders>
          </w:tcPr>
          <w:p w14:paraId="73B41624">
            <w:pPr>
              <w:spacing w:line="288" w:lineRule="auto"/>
              <w:jc w:val="center"/>
            </w:pPr>
            <w:r>
              <w:rPr>
                <w:rFonts w:hint="eastAsia" w:ascii="微软雅黑" w:hAnsi="微软雅黑" w:eastAsia="微软雅黑"/>
                <w:sz w:val="24"/>
              </w:rPr>
              <w:t>温度传感器、湿度传感器等</w:t>
            </w:r>
          </w:p>
        </w:tc>
        <w:tc>
          <w:tcPr>
            <w:tcW w:w="7170" w:type="dxa"/>
            <w:tcBorders>
              <w:top w:val="single" w:color="222222" w:sz="6" w:space="0"/>
              <w:left w:val="single" w:color="222222" w:sz="6" w:space="0"/>
              <w:bottom w:val="single" w:color="222222" w:sz="6" w:space="0"/>
              <w:right w:val="single" w:color="222222" w:sz="6" w:space="0"/>
            </w:tcBorders>
          </w:tcPr>
          <w:p w14:paraId="52D3AB50">
            <w:pPr>
              <w:spacing w:line="288" w:lineRule="auto"/>
              <w:jc w:val="center"/>
            </w:pPr>
            <w:r>
              <w:rPr>
                <w:rFonts w:hint="eastAsia" w:ascii="微软雅黑" w:hAnsi="微软雅黑" w:eastAsia="微软雅黑"/>
                <w:sz w:val="24"/>
              </w:rPr>
              <w:t>实时监测环境参数，数据传输至中央监控站或现场控制器</w:t>
            </w:r>
          </w:p>
        </w:tc>
      </w:tr>
      <w:tr w14:paraId="6F928A6B">
        <w:tblPrEx>
          <w:tblCellMar>
            <w:top w:w="0" w:type="dxa"/>
            <w:left w:w="108" w:type="dxa"/>
            <w:bottom w:w="0" w:type="dxa"/>
            <w:right w:w="108" w:type="dxa"/>
          </w:tblCellMar>
        </w:tblPrEx>
        <w:tc>
          <w:tcPr>
            <w:tcW w:w="1530" w:type="dxa"/>
            <w:tcBorders>
              <w:top w:val="single" w:color="222222" w:sz="6" w:space="0"/>
              <w:left w:val="single" w:color="222222" w:sz="6" w:space="0"/>
              <w:bottom w:val="single" w:color="222222" w:sz="6" w:space="0"/>
              <w:right w:val="single" w:color="222222" w:sz="6" w:space="0"/>
            </w:tcBorders>
          </w:tcPr>
          <w:p w14:paraId="361B1B84">
            <w:pPr>
              <w:spacing w:line="288" w:lineRule="auto"/>
              <w:jc w:val="center"/>
            </w:pPr>
            <w:r>
              <w:rPr>
                <w:rFonts w:hint="eastAsia" w:ascii="微软雅黑" w:hAnsi="微软雅黑" w:eastAsia="微软雅黑"/>
                <w:sz w:val="24"/>
              </w:rPr>
              <w:t>执行器</w:t>
            </w:r>
          </w:p>
        </w:tc>
        <w:tc>
          <w:tcPr>
            <w:tcW w:w="3585" w:type="dxa"/>
            <w:tcBorders>
              <w:top w:val="single" w:color="222222" w:sz="6" w:space="0"/>
              <w:left w:val="single" w:color="222222" w:sz="6" w:space="0"/>
              <w:bottom w:val="single" w:color="222222" w:sz="6" w:space="0"/>
              <w:right w:val="single" w:color="222222" w:sz="6" w:space="0"/>
            </w:tcBorders>
          </w:tcPr>
          <w:p w14:paraId="15EF672D">
            <w:pPr>
              <w:spacing w:line="288" w:lineRule="auto"/>
              <w:jc w:val="center"/>
            </w:pPr>
            <w:r>
              <w:rPr>
                <w:rFonts w:hint="eastAsia" w:ascii="微软雅黑" w:hAnsi="微软雅黑" w:eastAsia="微软雅黑"/>
                <w:sz w:val="24"/>
              </w:rPr>
              <w:t>电动阀、风机控制器等</w:t>
            </w:r>
          </w:p>
        </w:tc>
        <w:tc>
          <w:tcPr>
            <w:tcW w:w="7170" w:type="dxa"/>
            <w:tcBorders>
              <w:top w:val="single" w:color="222222" w:sz="6" w:space="0"/>
              <w:left w:val="single" w:color="222222" w:sz="6" w:space="0"/>
              <w:bottom w:val="single" w:color="222222" w:sz="6" w:space="0"/>
              <w:right w:val="single" w:color="222222" w:sz="6" w:space="0"/>
            </w:tcBorders>
          </w:tcPr>
          <w:p w14:paraId="69242338">
            <w:pPr>
              <w:spacing w:line="288" w:lineRule="auto"/>
              <w:jc w:val="center"/>
            </w:pPr>
            <w:r>
              <w:rPr>
                <w:rFonts w:hint="eastAsia" w:ascii="微软雅黑" w:hAnsi="微软雅黑" w:eastAsia="微软雅黑"/>
                <w:sz w:val="24"/>
              </w:rPr>
              <w:t>高响应速度，良好控制精度，根据指令调节设备状态</w:t>
            </w:r>
          </w:p>
        </w:tc>
      </w:tr>
      <w:tr w14:paraId="4D1024BA">
        <w:tblPrEx>
          <w:tblCellMar>
            <w:top w:w="0" w:type="dxa"/>
            <w:left w:w="108" w:type="dxa"/>
            <w:bottom w:w="0" w:type="dxa"/>
            <w:right w:w="108" w:type="dxa"/>
          </w:tblCellMar>
        </w:tblPrEx>
        <w:tc>
          <w:tcPr>
            <w:tcW w:w="1530" w:type="dxa"/>
            <w:tcBorders>
              <w:top w:val="single" w:color="222222" w:sz="6" w:space="0"/>
              <w:left w:val="single" w:color="222222" w:sz="6" w:space="0"/>
              <w:bottom w:val="single" w:color="222222" w:sz="6" w:space="0"/>
              <w:right w:val="single" w:color="222222" w:sz="6" w:space="0"/>
            </w:tcBorders>
          </w:tcPr>
          <w:p w14:paraId="0D5276F8">
            <w:pPr>
              <w:spacing w:line="288" w:lineRule="auto"/>
              <w:jc w:val="center"/>
            </w:pPr>
            <w:r>
              <w:rPr>
                <w:rFonts w:hint="eastAsia" w:ascii="微软雅黑" w:hAnsi="微软雅黑" w:eastAsia="微软雅黑"/>
                <w:sz w:val="24"/>
              </w:rPr>
              <w:t>网络设备</w:t>
            </w:r>
          </w:p>
        </w:tc>
        <w:tc>
          <w:tcPr>
            <w:tcW w:w="3585" w:type="dxa"/>
            <w:tcBorders>
              <w:top w:val="single" w:color="222222" w:sz="6" w:space="0"/>
              <w:left w:val="single" w:color="222222" w:sz="6" w:space="0"/>
              <w:bottom w:val="single" w:color="222222" w:sz="6" w:space="0"/>
              <w:right w:val="single" w:color="222222" w:sz="6" w:space="0"/>
            </w:tcBorders>
          </w:tcPr>
          <w:p w14:paraId="4E9F6D3D">
            <w:pPr>
              <w:spacing w:line="288" w:lineRule="auto"/>
              <w:jc w:val="center"/>
            </w:pPr>
            <w:r>
              <w:rPr>
                <w:rFonts w:hint="eastAsia" w:ascii="微软雅黑" w:hAnsi="微软雅黑" w:eastAsia="微软雅黑"/>
                <w:sz w:val="24"/>
              </w:rPr>
              <w:t>工业级以太网交换机</w:t>
            </w:r>
          </w:p>
        </w:tc>
        <w:tc>
          <w:tcPr>
            <w:tcW w:w="7170" w:type="dxa"/>
            <w:tcBorders>
              <w:top w:val="single" w:color="222222" w:sz="6" w:space="0"/>
              <w:left w:val="single" w:color="222222" w:sz="6" w:space="0"/>
              <w:bottom w:val="single" w:color="222222" w:sz="6" w:space="0"/>
              <w:right w:val="single" w:color="222222" w:sz="6" w:space="0"/>
            </w:tcBorders>
          </w:tcPr>
          <w:p w14:paraId="522EEE31">
            <w:pPr>
              <w:spacing w:line="288" w:lineRule="auto"/>
              <w:jc w:val="center"/>
            </w:pPr>
            <w:r>
              <w:rPr>
                <w:rFonts w:hint="eastAsia" w:ascii="微软雅黑" w:hAnsi="微软雅黑" w:eastAsia="微软雅黑"/>
                <w:sz w:val="24"/>
              </w:rPr>
              <w:t>防尘、防潮、防腐蚀，保证数据稳定传输</w:t>
            </w:r>
          </w:p>
        </w:tc>
      </w:tr>
      <w:tr w14:paraId="1C636A57">
        <w:tblPrEx>
          <w:tblCellMar>
            <w:top w:w="0" w:type="dxa"/>
            <w:left w:w="108" w:type="dxa"/>
            <w:bottom w:w="0" w:type="dxa"/>
            <w:right w:w="108" w:type="dxa"/>
          </w:tblCellMar>
        </w:tblPrEx>
        <w:tc>
          <w:tcPr>
            <w:tcW w:w="1530" w:type="dxa"/>
            <w:tcBorders>
              <w:top w:val="single" w:color="222222" w:sz="6" w:space="0"/>
              <w:left w:val="single" w:color="222222" w:sz="6" w:space="0"/>
              <w:bottom w:val="single" w:color="222222" w:sz="6" w:space="0"/>
              <w:right w:val="single" w:color="222222" w:sz="6" w:space="0"/>
            </w:tcBorders>
          </w:tcPr>
          <w:p w14:paraId="41462465">
            <w:pPr>
              <w:spacing w:line="288" w:lineRule="auto"/>
              <w:jc w:val="center"/>
            </w:pPr>
            <w:r>
              <w:rPr>
                <w:rFonts w:hint="eastAsia" w:ascii="微软雅黑" w:hAnsi="微软雅黑" w:eastAsia="微软雅黑"/>
                <w:sz w:val="24"/>
              </w:rPr>
              <w:t>通信设备</w:t>
            </w:r>
          </w:p>
        </w:tc>
        <w:tc>
          <w:tcPr>
            <w:tcW w:w="3585" w:type="dxa"/>
            <w:tcBorders>
              <w:top w:val="single" w:color="222222" w:sz="6" w:space="0"/>
              <w:left w:val="single" w:color="222222" w:sz="6" w:space="0"/>
              <w:bottom w:val="single" w:color="222222" w:sz="6" w:space="0"/>
              <w:right w:val="single" w:color="222222" w:sz="6" w:space="0"/>
            </w:tcBorders>
          </w:tcPr>
          <w:p w14:paraId="469616D7">
            <w:pPr>
              <w:spacing w:line="288" w:lineRule="auto"/>
              <w:jc w:val="center"/>
            </w:pPr>
            <w:r>
              <w:rPr>
                <w:rFonts w:hint="eastAsia" w:ascii="微软雅黑" w:hAnsi="微软雅黑" w:eastAsia="微软雅黑"/>
                <w:sz w:val="24"/>
              </w:rPr>
              <w:t>光纤通信设备</w:t>
            </w:r>
          </w:p>
        </w:tc>
        <w:tc>
          <w:tcPr>
            <w:tcW w:w="7170" w:type="dxa"/>
            <w:tcBorders>
              <w:top w:val="single" w:color="222222" w:sz="6" w:space="0"/>
              <w:left w:val="single" w:color="222222" w:sz="6" w:space="0"/>
              <w:bottom w:val="single" w:color="222222" w:sz="6" w:space="0"/>
              <w:right w:val="single" w:color="222222" w:sz="6" w:space="0"/>
            </w:tcBorders>
          </w:tcPr>
          <w:p w14:paraId="7375F4C7">
            <w:pPr>
              <w:spacing w:line="288" w:lineRule="auto"/>
              <w:jc w:val="center"/>
            </w:pPr>
            <w:r>
              <w:rPr>
                <w:rFonts w:hint="eastAsia" w:ascii="微软雅黑" w:hAnsi="微软雅黑" w:eastAsia="微软雅黑"/>
                <w:sz w:val="24"/>
              </w:rPr>
              <w:t>多模或单模光纤，传输距离长，抗干扰能力强，传输速度快</w:t>
            </w:r>
          </w:p>
        </w:tc>
      </w:tr>
    </w:tbl>
    <w:p w14:paraId="048315ED">
      <w:pPr>
        <w:spacing w:line="288" w:lineRule="auto"/>
        <w:ind w:firstLineChars="200"/>
        <w:jc w:val="both"/>
      </w:pPr>
    </w:p>
    <w:p w14:paraId="26C206E6">
      <w:pPr>
        <w:pStyle w:val="4"/>
        <w:spacing w:line="288" w:lineRule="auto"/>
      </w:pPr>
      <w:r>
        <w:rPr>
          <w:rFonts w:hint="eastAsia" w:ascii="微软雅黑" w:hAnsi="微软雅黑" w:eastAsia="微软雅黑"/>
          <w:sz w:val="36"/>
        </w:rPr>
        <w:t>传感器与执行器</w:t>
      </w:r>
    </w:p>
    <w:p w14:paraId="70A05120">
      <w:pPr>
        <w:spacing w:line="288" w:lineRule="auto"/>
        <w:ind w:firstLine="480" w:firstLineChars="200"/>
        <w:jc w:val="both"/>
      </w:pPr>
      <w:r>
        <w:rPr>
          <w:rFonts w:hint="eastAsia" w:ascii="微软雅黑" w:hAnsi="微软雅黑" w:eastAsia="微软雅黑"/>
          <w:sz w:val="24"/>
        </w:rPr>
        <w:t>传感器类别丰富多样，包括但不限于温度传感器、湿度传感器、光照传感器、压力传感器、液位传感器、流量传感器等，它们紧密布置于被控环境中，通过实时监测各项环境参数，将数据传输至中央监控站或现场控制器进行分析处理。执行器则负责根据中央监控站的指令调节设备状态，例如电动阀可精确控制流体管道的开启程度，风机控制器则能根据预设策略调节风量大小或开关状态，这些执行器通常具备高响应速度和良好的控制精度。</w:t>
      </w:r>
    </w:p>
    <w:p w14:paraId="4C2D88E3">
      <w:pPr>
        <w:pStyle w:val="4"/>
        <w:spacing w:line="288" w:lineRule="auto"/>
      </w:pPr>
      <w:r>
        <w:rPr>
          <w:rFonts w:hint="eastAsia" w:ascii="微软雅黑" w:hAnsi="微软雅黑" w:eastAsia="微软雅黑"/>
          <w:sz w:val="36"/>
        </w:rPr>
        <w:t>网络与通信设备</w:t>
      </w:r>
    </w:p>
    <w:p w14:paraId="676C6F71">
      <w:pPr>
        <w:spacing w:line="288" w:lineRule="auto"/>
        <w:ind w:firstLine="480" w:firstLineChars="200"/>
        <w:jc w:val="both"/>
      </w:pPr>
      <w:r>
        <w:rPr>
          <w:rFonts w:hint="eastAsia" w:ascii="微软雅黑" w:hAnsi="微软雅黑" w:eastAsia="微软雅黑"/>
          <w:sz w:val="24"/>
        </w:rPr>
        <w:t>为了确保整个自控系统数据传输的稳定性和实时性，系统采用工业级以太网交换机和光纤通信设备。其中，工业级以太网交换机具备防尘、防潮、防腐蚀等特性，即使在恶劣环境下也能保证数据的稳定传输。光纤通信设备则采用多模或单模光纤，具有传输距离长、抗干扰能力强、传输速度快等优点，进一步保证了数据传输的稳定性和实时性。此外，系统还支持多种通信协议，如Modbus、Profinet、EtherNet/IP等，便于与第三方设备进行集成，提高了系统的灵活性和可扩展性。</w:t>
      </w:r>
    </w:p>
    <w:p w14:paraId="393AED00">
      <w:pPr>
        <w:pStyle w:val="4"/>
        <w:spacing w:line="288" w:lineRule="auto"/>
      </w:pPr>
      <w:r>
        <w:rPr>
          <w:rFonts w:hint="eastAsia" w:ascii="微软雅黑" w:hAnsi="微软雅黑" w:eastAsia="微软雅黑"/>
          <w:sz w:val="36"/>
        </w:rPr>
        <w:t>电源与辅助设备</w:t>
      </w:r>
    </w:p>
    <w:p w14:paraId="6481A5A3">
      <w:pPr>
        <w:spacing w:line="288" w:lineRule="auto"/>
        <w:ind w:firstLine="480" w:firstLineChars="200"/>
        <w:jc w:val="both"/>
      </w:pPr>
      <w:r>
        <w:rPr>
          <w:rFonts w:hint="eastAsia" w:ascii="微软雅黑" w:hAnsi="微软雅黑" w:eastAsia="微软雅黑"/>
          <w:sz w:val="24"/>
        </w:rPr>
        <w:t>电源设备是保障整个自控系统稳定运行的基础设施。为确保在电力故障时系统仍能正常运行，电源设备采用冗余设计。即配备备用电源如UPS不间断电源，并在必要时通过双电源切换装置接入市电和备用电源之间自动切换，以维持系统连续供电。同时，辅助设备包括防雷击保护器、电源滤波器、电缆桥架等。防雷击保护器能够有效地防止雷电侵入和操作过电压对设备的冲击损坏；电源滤波器则用于抑制电源噪声干扰和电磁辐射；电缆桥架则用于规范布线，提高系统整洁度和安全性。这些辅助设备共同为自控系统提供了全方位的保护，确保其在各种复杂环境下都能稳定可靠地运行。</w:t>
      </w:r>
    </w:p>
    <w:p w14:paraId="4F560B05">
      <w:pPr>
        <w:pStyle w:val="3"/>
        <w:spacing w:line="288" w:lineRule="auto"/>
      </w:pPr>
      <w:r>
        <w:rPr>
          <w:rFonts w:hint="eastAsia" w:ascii="微软雅黑" w:hAnsi="微软雅黑" w:eastAsia="微软雅黑"/>
          <w:b/>
          <w:sz w:val="36"/>
        </w:rPr>
        <w:t>系统安装与调试</w:t>
      </w:r>
    </w:p>
    <w:p w14:paraId="7DB2EFCC">
      <w:pPr>
        <w:pStyle w:val="4"/>
        <w:spacing w:line="288" w:lineRule="auto"/>
      </w:pPr>
      <w:r>
        <w:rPr>
          <w:rFonts w:hint="eastAsia" w:ascii="微软雅黑" w:hAnsi="微软雅黑" w:eastAsia="微软雅黑"/>
          <w:sz w:val="36"/>
        </w:rPr>
        <w:t>安装前准备与要求</w:t>
      </w:r>
    </w:p>
    <w:p w14:paraId="031E1E79">
      <w:pPr>
        <w:spacing w:line="288" w:lineRule="auto"/>
        <w:ind w:firstLine="480" w:firstLineChars="200"/>
        <w:jc w:val="both"/>
      </w:pPr>
      <w:r>
        <w:rPr>
          <w:rFonts w:hint="eastAsia" w:ascii="微软雅黑" w:hAnsi="微软雅黑" w:eastAsia="微软雅黑"/>
          <w:sz w:val="24"/>
        </w:rPr>
        <w:t>在安装系统之前，必须进行全面的现场勘察和设备检查。现场勘察的目的是确定设备的安装位置，以确保系统运行的高效性和稳定性。同时，布线方案的规划也至关重要，它涉及到系统的连接性和安全性。设备方面，需要确保所有设备均符合设计要求，并具备相应的合格证书。</w:t>
      </w:r>
    </w:p>
    <w:p w14:paraId="6D0836DB">
      <w:pPr>
        <w:pStyle w:val="4"/>
        <w:spacing w:line="288" w:lineRule="auto"/>
      </w:pPr>
      <w:r>
        <w:rPr>
          <w:rFonts w:hint="eastAsia" w:ascii="微软雅黑" w:hAnsi="微软雅黑" w:eastAsia="微软雅黑"/>
          <w:sz w:val="36"/>
        </w:rPr>
        <w:t>系统设备安装步骤</w:t>
      </w:r>
    </w:p>
    <w:p w14:paraId="20C263BC">
      <w:pPr>
        <w:spacing w:line="288" w:lineRule="auto"/>
        <w:ind w:firstLine="480" w:firstLineChars="200"/>
        <w:jc w:val="both"/>
      </w:pPr>
      <w:r>
        <w:rPr>
          <w:rFonts w:hint="eastAsia" w:ascii="微软雅黑" w:hAnsi="微软雅黑" w:eastAsia="微软雅黑"/>
          <w:sz w:val="24"/>
        </w:rPr>
        <w:t>设备安装是整个系统安装过程中的关键环节。为了确保安装的顺利进行，应遵循先易后难、先主后次的原则。首先，安装中央监控站设备，这是整个系统的核心部分，负责监控和控制整个系统的运行。接下来，进行现场控制器的部署，这些控制器负责现场设备的控制和数据采集。最后，连接传感器与执行器，以确保系统的各项功能得以实现。在安装过程中，必须严格遵守操作规程，确保设备安装的准确性和可靠性。</w:t>
      </w:r>
    </w:p>
    <w:p w14:paraId="1728D67B">
      <w:pPr>
        <w:spacing w:line="240" w:lineRule="auto"/>
      </w:pPr>
    </w:p>
    <w:tbl>
      <w:tblPr>
        <w:tblStyle w:val="11"/>
        <w:tblW w:w="11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00"/>
      </w:tblGrid>
      <w:tr w14:paraId="752E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vAlign w:val="center"/>
          </w:tcPr>
          <w:p w14:paraId="61EF6814">
            <w:r>
              <w:drawing>
                <wp:inline distT="0" distB="0" distL="0" distR="0">
                  <wp:extent cx="6667500" cy="17983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732145" cy="15463461"/>
                          </a:xfrm>
                          <a:prstGeom prst="rect">
                            <a:avLst/>
                          </a:prstGeom>
                        </pic:spPr>
                      </pic:pic>
                    </a:graphicData>
                  </a:graphic>
                </wp:inline>
              </w:drawing>
            </w:r>
          </w:p>
        </w:tc>
      </w:tr>
      <w:tr w14:paraId="4A55B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vAlign w:val="center"/>
          </w:tcPr>
          <w:p w14:paraId="7032A644">
            <w:pPr>
              <w:jc w:val="center"/>
            </w:pPr>
            <w:r>
              <w:t>系统设备安装流程</w:t>
            </w:r>
          </w:p>
        </w:tc>
      </w:tr>
    </w:tbl>
    <w:p w14:paraId="36E1DC81">
      <w:pPr>
        <w:spacing w:line="240" w:lineRule="auto"/>
      </w:pPr>
    </w:p>
    <w:p w14:paraId="074CC111">
      <w:pPr>
        <w:pStyle w:val="4"/>
        <w:spacing w:line="288" w:lineRule="auto"/>
      </w:pPr>
      <w:r>
        <w:rPr>
          <w:rFonts w:hint="eastAsia" w:ascii="微软雅黑" w:hAnsi="微软雅黑" w:eastAsia="微软雅黑"/>
          <w:sz w:val="36"/>
        </w:rPr>
        <w:t>系统调试与测试方法</w:t>
      </w:r>
    </w:p>
    <w:p w14:paraId="1FF1130B">
      <w:pPr>
        <w:spacing w:line="288" w:lineRule="auto"/>
        <w:ind w:firstLine="480" w:firstLineChars="200"/>
        <w:jc w:val="both"/>
      </w:pPr>
      <w:r>
        <w:rPr>
          <w:rFonts w:hint="eastAsia" w:ascii="微软雅黑" w:hAnsi="微软雅黑" w:eastAsia="微软雅黑"/>
          <w:sz w:val="24"/>
        </w:rPr>
        <w:t>系统调试是确保系统正常运行的关键步骤。调试内容包括功能测试、性能测试和稳定性测试。功能测试旨在检查系统的各项功能是否正常，包括传感器的灵敏度、执行器的响应速度等。性能测试则关注系统在不同负载下的运行效率和处理能力。稳定性测试则侧重于检查系统在长时间运行下的稳定性，以确保系统能够持续稳定地运行。在调试过程中，需要逐一检查各设备的功能是否正常，系统响应是否及时，以及在不同负载下的运行稳定性。同时，还需对系统进行全面的安全检查，确保无安全隐患。</w:t>
      </w:r>
    </w:p>
    <w:p w14:paraId="1A6B4705">
      <w:pPr>
        <w:pStyle w:val="4"/>
        <w:spacing w:line="288" w:lineRule="auto"/>
      </w:pPr>
      <w:r>
        <w:rPr>
          <w:rFonts w:hint="eastAsia" w:ascii="微软雅黑" w:hAnsi="微软雅黑" w:eastAsia="微软雅黑"/>
          <w:sz w:val="36"/>
        </w:rPr>
        <w:t>故障排查与解决策略</w:t>
      </w:r>
    </w:p>
    <w:p w14:paraId="17E827D8">
      <w:pPr>
        <w:spacing w:line="288" w:lineRule="auto"/>
        <w:ind w:firstLine="480" w:firstLineChars="200"/>
        <w:jc w:val="both"/>
      </w:pPr>
      <w:r>
        <w:rPr>
          <w:rFonts w:hint="eastAsia" w:ascii="微软雅黑" w:hAnsi="微软雅黑" w:eastAsia="微软雅黑"/>
          <w:sz w:val="24"/>
        </w:rPr>
        <w:t>尽管在安装和调试过程中已尽力确保系统正常运行，但仍然可能出现故障。一旦出现故障，应立即启动故障排查程序。首先，根据故障现象分析可能的原因，然后逐一排查并修复。对于复杂故障，可能需要组织专家团队进行会诊，以确保故障得到及时有效的解决。同时，应建立完善的故障记录和分析体系，以便对故障原因进行深入分析，为今后的系统维护提供参考。</w:t>
      </w:r>
    </w:p>
    <w:p w14:paraId="088E331D">
      <w:pPr>
        <w:pStyle w:val="3"/>
        <w:spacing w:line="288" w:lineRule="auto"/>
      </w:pPr>
      <w:r>
        <w:rPr>
          <w:rFonts w:hint="eastAsia" w:ascii="微软雅黑" w:hAnsi="微软雅黑" w:eastAsia="微软雅黑"/>
          <w:b/>
          <w:sz w:val="36"/>
        </w:rPr>
        <w:t>操作指南</w:t>
      </w:r>
    </w:p>
    <w:p w14:paraId="0EBB9F31">
      <w:pPr>
        <w:pStyle w:val="4"/>
        <w:spacing w:line="288" w:lineRule="auto"/>
      </w:pPr>
      <w:r>
        <w:rPr>
          <w:rFonts w:hint="eastAsia" w:ascii="微软雅黑" w:hAnsi="微软雅黑" w:eastAsia="微软雅黑"/>
          <w:sz w:val="36"/>
        </w:rPr>
        <w:t>系统启动与关闭流程</w:t>
      </w:r>
    </w:p>
    <w:p w14:paraId="5FC563B6">
      <w:pPr>
        <w:spacing w:line="288" w:lineRule="auto"/>
        <w:ind w:firstLine="480" w:firstLineChars="200"/>
        <w:jc w:val="both"/>
      </w:pPr>
      <w:r>
        <w:rPr>
          <w:rFonts w:hint="eastAsia" w:ascii="微软雅黑" w:hAnsi="微软雅黑" w:eastAsia="微软雅黑"/>
          <w:sz w:val="24"/>
        </w:rPr>
        <w:t>在启动系统之前，操作人员需要确保系统所涉及的所有硬件设备（如中央监控站、现场控制器、各类传感器和执行器等）的电源已经正确接入并处于开启状态，同时检查网络连接是否稳定可靠，以确保系统各部分能够正常通信和协同工作。启动流程严格遵循自上而下的原则，首先在中央监控站启动系统主程序，通过预设的逻辑顺序逐一激活各个现场控制器，确保每个控制器启动成功后，再依次启动其管辖范围内的传感器与执行器等末梢设备。</w:t>
      </w:r>
    </w:p>
    <w:p w14:paraId="10157288">
      <w:pPr>
        <w:spacing w:line="288" w:lineRule="auto"/>
        <w:ind w:firstLine="480" w:firstLineChars="200"/>
        <w:jc w:val="both"/>
      </w:pPr>
      <w:r>
        <w:rPr>
          <w:rFonts w:hint="eastAsia" w:ascii="微软雅黑" w:hAnsi="微软雅黑" w:eastAsia="微软雅黑"/>
          <w:sz w:val="24"/>
        </w:rPr>
        <w:t>关闭流程则与启动流程相反，需先在中央监控站内发出指令，逐个关闭所有传感器与执行器，待其全部停止工作后，再依次关闭各个现场控制器和中央监控站的主服务器。这一过程中要保证设备间的通讯同步，避免因操作顺序不当导致系统运行异常或设备损坏。</w:t>
      </w:r>
    </w:p>
    <w:p w14:paraId="2AADB57E">
      <w:pPr>
        <w:pStyle w:val="4"/>
        <w:spacing w:line="288" w:lineRule="auto"/>
      </w:pPr>
      <w:r>
        <w:rPr>
          <w:rFonts w:hint="eastAsia" w:ascii="微软雅黑" w:hAnsi="微软雅黑" w:eastAsia="微软雅黑"/>
          <w:sz w:val="36"/>
        </w:rPr>
        <w:t>设备监控与控制操作</w:t>
      </w:r>
    </w:p>
    <w:p w14:paraId="2FFA72B7">
      <w:pPr>
        <w:spacing w:line="288" w:lineRule="auto"/>
        <w:ind w:firstLine="480" w:firstLineChars="200"/>
        <w:jc w:val="both"/>
      </w:pPr>
      <w:r>
        <w:rPr>
          <w:rFonts w:hint="eastAsia" w:ascii="微软雅黑" w:hAnsi="微软雅黑" w:eastAsia="微软雅黑"/>
          <w:sz w:val="24"/>
        </w:rPr>
        <w:t>操作人员通过中央监控站配备的人机界面（HMI）或远程通信终端，可以实时获取并查看所有设备的运行状态信息，包括但不限于设备开/关状态、实时参数数据、故障报警状态等。同时，系统赋予了操作人员灵活便捷的远程控制功能，可根据实际需求对任意设备进行远程开启、关闭或模式切换等操作。</w:t>
      </w:r>
    </w:p>
    <w:p w14:paraId="50926BD9">
      <w:pPr>
        <w:spacing w:line="288" w:lineRule="auto"/>
        <w:ind w:firstLine="480" w:firstLineChars="200"/>
        <w:jc w:val="both"/>
      </w:pPr>
      <w:r>
        <w:rPr>
          <w:rFonts w:hint="eastAsia" w:ascii="微软雅黑" w:hAnsi="微软雅黑" w:eastAsia="微软雅黑"/>
          <w:sz w:val="24"/>
        </w:rPr>
        <w:t>为了进一步提高系统的智能化水平，系统还集成了定时控制和联动控制功能。定时控制允许操作人员设定特定的时间点或时间段，系统将在预设时间内自动执行相应的控制指令，例如每日清晨自动开启照明系统或定期启动通风设备等。联动控制则是通过多设备间的逻辑关联来实现自动化管理，比如当某个传感器检测到特定条件时，系统能根据预设逻辑自动触发其他相关设备的运行或调整其工作状态。</w:t>
      </w:r>
    </w:p>
    <w:p w14:paraId="5BAF415D">
      <w:pPr>
        <w:pStyle w:val="4"/>
        <w:spacing w:line="288" w:lineRule="auto"/>
      </w:pPr>
      <w:r>
        <w:rPr>
          <w:rFonts w:hint="eastAsia" w:ascii="微软雅黑" w:hAnsi="微软雅黑" w:eastAsia="微软雅黑"/>
          <w:sz w:val="36"/>
        </w:rPr>
        <w:t>数据记录与报表生成</w:t>
      </w:r>
    </w:p>
    <w:p w14:paraId="5D65CDCD">
      <w:pPr>
        <w:pStyle w:val="4"/>
        <w:spacing w:line="288" w:lineRule="auto"/>
      </w:pPr>
      <w:r>
        <w:rPr>
          <w:rFonts w:hint="eastAsia" w:ascii="微软雅黑" w:hAnsi="微软雅黑" w:eastAsia="微软雅黑"/>
          <w:sz w:val="36"/>
        </w:rPr>
        <w:t>系统维护与保养建议</w:t>
      </w:r>
    </w:p>
    <w:p w14:paraId="16814172">
      <w:pPr>
        <w:spacing w:line="288" w:lineRule="auto"/>
        <w:ind w:firstLine="480" w:firstLineChars="200"/>
        <w:jc w:val="both"/>
      </w:pPr>
      <w:r>
        <w:rPr>
          <w:rFonts w:hint="eastAsia" w:ascii="微软雅黑" w:hAnsi="微软雅黑" w:eastAsia="微软雅黑"/>
          <w:sz w:val="24"/>
        </w:rPr>
        <w:t>为了保证系统的长期稳定运行和良好性能表现，必须定期执行一系列维护与保养任务。这包括但不限于：对所有设备的外壳及关键部件进行清洁处理，以防止灰尘积累影响散热和正常运行；对设备间的连接线路和接口进行检查和紧固，确保所有连接牢固可靠并无松动现象；根据实际情况更新系统软件和固件，以保持系统的最新状态并修复潜在的软件漏洞。</w:t>
      </w:r>
    </w:p>
    <w:p w14:paraId="6CEED1C7">
      <w:pPr>
        <w:spacing w:line="288" w:lineRule="auto"/>
        <w:ind w:firstLine="480" w:firstLineChars="200"/>
        <w:jc w:val="both"/>
      </w:pPr>
      <w:r>
        <w:rPr>
          <w:rFonts w:hint="eastAsia" w:ascii="微软雅黑" w:hAnsi="微软雅黑" w:eastAsia="微软雅黑"/>
          <w:sz w:val="24"/>
        </w:rPr>
        <w:t>建立完善的维护记录体系同样至关重要，每次维护操作完成后都应详细记录相关信息，包括维护日期、具体内容、更换或修复的部件详情、维护效果评估等。这样不仅可以为后续维护提供参考依据，还能及时发现并解决潜在问题，有效预防因疏忽导致的系统故障或性能下降。</w:t>
      </w:r>
    </w:p>
    <w:p w14:paraId="3CF8C5CD">
      <w:pPr>
        <w:spacing w:line="240" w:lineRule="auto"/>
      </w:pPr>
    </w:p>
    <w:tbl>
      <w:tblPr>
        <w:tblStyle w:val="11"/>
        <w:tblW w:w="11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00"/>
      </w:tblGrid>
      <w:tr w14:paraId="7B155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vAlign w:val="center"/>
          </w:tcPr>
          <w:p w14:paraId="503667B7">
            <w:r>
              <w:drawing>
                <wp:inline distT="0" distB="0" distL="0" distR="0">
                  <wp:extent cx="6667500" cy="38957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732145" cy="3350776"/>
                          </a:xfrm>
                          <a:prstGeom prst="rect">
                            <a:avLst/>
                          </a:prstGeom>
                        </pic:spPr>
                      </pic:pic>
                    </a:graphicData>
                  </a:graphic>
                </wp:inline>
              </w:drawing>
            </w:r>
          </w:p>
        </w:tc>
      </w:tr>
      <w:tr w14:paraId="2F75F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vAlign w:val="center"/>
          </w:tcPr>
          <w:p w14:paraId="775C5DBB">
            <w:pPr>
              <w:jc w:val="center"/>
            </w:pPr>
            <w:r>
              <w:t>系统操作与维护流程</w:t>
            </w:r>
          </w:p>
        </w:tc>
      </w:tr>
    </w:tbl>
    <w:p w14:paraId="4E80248C">
      <w:pPr>
        <w:spacing w:line="240" w:lineRule="auto"/>
      </w:pPr>
    </w:p>
    <w:p w14:paraId="168FEE2D">
      <w:pPr>
        <w:pStyle w:val="3"/>
        <w:spacing w:line="288" w:lineRule="auto"/>
      </w:pPr>
      <w:r>
        <w:rPr>
          <w:rFonts w:hint="eastAsia" w:ascii="微软雅黑" w:hAnsi="微软雅黑" w:eastAsia="微软雅黑"/>
          <w:b/>
          <w:sz w:val="36"/>
        </w:rPr>
        <w:t>功能模块详解</w:t>
      </w:r>
    </w:p>
    <w:p w14:paraId="165A443F">
      <w:pPr>
        <w:pStyle w:val="4"/>
        <w:spacing w:line="288" w:lineRule="auto"/>
      </w:pPr>
      <w:r>
        <w:rPr>
          <w:rFonts w:hint="eastAsia" w:ascii="微软雅黑" w:hAnsi="微软雅黑" w:eastAsia="微软雅黑"/>
          <w:sz w:val="36"/>
        </w:rPr>
        <w:t>照明控制系统</w:t>
      </w:r>
    </w:p>
    <w:p w14:paraId="40121A55">
      <w:pPr>
        <w:spacing w:line="288" w:lineRule="auto"/>
        <w:ind w:firstLine="480" w:firstLineChars="200"/>
        <w:jc w:val="both"/>
      </w:pPr>
      <w:r>
        <w:rPr>
          <w:rFonts w:hint="eastAsia" w:ascii="微软雅黑" w:hAnsi="微软雅黑" w:eastAsia="微软雅黑"/>
          <w:sz w:val="24"/>
        </w:rPr>
        <w:t>照明控制系统采用了先进的传感器技术和智能算法，能够根据室内光照强度、颜色温度以及一天中的时间自动调节照明亮度。系统通过实时监测环境光线，智能判断最佳照明方案，以达到节能降耗的目的。此外，该系统还具备远程控制和定时控制功能，管理人员可以通过手机、电脑等设备随时随地对照明设备进行开关、调光等操作，大大提高了使用的便捷性和灵活性。同时，定时控制功能使得照明设备能够按照预设的时间表自动开启或关闭，进一步节省能源。</w:t>
      </w:r>
    </w:p>
    <w:p w14:paraId="30151BB4">
      <w:pPr>
        <w:pStyle w:val="4"/>
        <w:spacing w:line="288" w:lineRule="auto"/>
      </w:pPr>
      <w:r>
        <w:rPr>
          <w:rFonts w:hint="eastAsia" w:ascii="微软雅黑" w:hAnsi="微软雅黑" w:eastAsia="微软雅黑"/>
          <w:sz w:val="36"/>
        </w:rPr>
        <w:t>空调与通风系统</w:t>
      </w:r>
    </w:p>
    <w:p w14:paraId="54D06710">
      <w:pPr>
        <w:spacing w:line="288" w:lineRule="auto"/>
        <w:ind w:firstLine="480" w:firstLineChars="200"/>
        <w:jc w:val="both"/>
      </w:pPr>
      <w:r>
        <w:rPr>
          <w:rFonts w:hint="eastAsia" w:ascii="微软雅黑" w:hAnsi="微软雅黑" w:eastAsia="微软雅黑"/>
          <w:sz w:val="24"/>
        </w:rPr>
        <w:t>空调与通风系统是利用先进的温控技术和空气质量传感器，根据室内外温湿度差异自动调节空调温度和风速，确保室内环境的舒适度。系统通过实时监测室内温度和湿度，智能调整空调运行参数，使室内始终保持最佳的居住或工作环境。同时，系统还配备了空气质量传感器，能够实时监测室内空气质量，并根据需要启动通风设备，引入新鲜空气，排出污浊空气，保持室内空气清新。</w:t>
      </w:r>
    </w:p>
    <w:p w14:paraId="61FDDFE2">
      <w:pPr>
        <w:pStyle w:val="4"/>
        <w:spacing w:line="288" w:lineRule="auto"/>
      </w:pPr>
      <w:r>
        <w:rPr>
          <w:rFonts w:hint="eastAsia" w:ascii="微软雅黑" w:hAnsi="微软雅黑" w:eastAsia="微软雅黑"/>
          <w:sz w:val="36"/>
        </w:rPr>
        <w:t>给排水系统</w:t>
      </w:r>
    </w:p>
    <w:p w14:paraId="0C289179">
      <w:pPr>
        <w:spacing w:line="288" w:lineRule="auto"/>
        <w:ind w:firstLine="480" w:firstLineChars="200"/>
        <w:jc w:val="both"/>
      </w:pPr>
      <w:r>
        <w:rPr>
          <w:rFonts w:hint="eastAsia" w:ascii="微软雅黑" w:hAnsi="微软雅黑" w:eastAsia="微软雅黑"/>
          <w:sz w:val="24"/>
        </w:rPr>
        <w:t>给排水系统是利用水泵和阀门等设备，实现水的输送和控制。通过实时监测水泵的运行状态和水位变化，系统能够根据需要自动调整水泵转速和阀门开度，确保给排水系统的稳定运行。此外，系统还配备了漏水检测和报警功能，能够及时发现并处理漏水问题，有效防止水资源浪费和财产损失。</w:t>
      </w:r>
    </w:p>
    <w:p w14:paraId="0F1FFEED">
      <w:pPr>
        <w:pStyle w:val="4"/>
        <w:spacing w:line="288" w:lineRule="auto"/>
      </w:pPr>
      <w:r>
        <w:rPr>
          <w:rFonts w:hint="eastAsia" w:ascii="微软雅黑" w:hAnsi="微软雅黑" w:eastAsia="微软雅黑"/>
          <w:sz w:val="36"/>
        </w:rPr>
        <w:t>消防与安全系统</w:t>
      </w:r>
    </w:p>
    <w:p w14:paraId="0E3FE69E">
      <w:pPr>
        <w:spacing w:line="288" w:lineRule="auto"/>
        <w:ind w:firstLine="480" w:firstLineChars="200"/>
        <w:jc w:val="both"/>
      </w:pPr>
      <w:r>
        <w:rPr>
          <w:rFonts w:hint="eastAsia" w:ascii="微软雅黑" w:hAnsi="微软雅黑" w:eastAsia="微软雅黑"/>
          <w:sz w:val="24"/>
        </w:rPr>
        <w:t>消防与安全系统是保障建筑物安全的重要保障。该系统包括火灾报警、烟雾探测、紧急疏散等功能。通过实时监测火灾隐患，如烟雾、温度等参数，一旦发现火情，立即启动报警和疏散程序，确保人员安全。此外，系统还能与照明、电梯等设备实现联动控制，提高应急响应效率。例如，在火灾发生时，系统能够自动切断电源，启动应急照明设备，确保人员安全疏散。同时，电梯等设备也能够根据需要自动停止运行或切换到安全模式，进一步提高了应急响应效率。</w:t>
      </w:r>
    </w:p>
    <w:p w14:paraId="24324914">
      <w:pPr>
        <w:spacing w:line="288" w:lineRule="auto"/>
        <w:ind w:firstLineChars="200"/>
        <w:jc w:val="both"/>
      </w:pPr>
    </w:p>
    <w:p w14:paraId="354EB7AB">
      <w:pPr>
        <w:spacing w:line="288" w:lineRule="auto"/>
        <w:ind w:firstLine="480" w:firstLineChars="200"/>
        <w:jc w:val="both"/>
      </w:pPr>
      <w:r>
        <w:rPr>
          <w:rFonts w:hint="eastAsia" w:ascii="微软雅黑" w:hAnsi="微软雅黑" w:eastAsia="微软雅黑"/>
          <w:sz w:val="24"/>
        </w:rPr>
        <w:t>表格：各功能模块特点与功能对比</w:t>
      </w:r>
    </w:p>
    <w:tbl>
      <w:tblPr>
        <w:tblStyle w:val="11"/>
        <w:tblW w:w="0" w:type="dxa"/>
        <w:tblInd w:w="0" w:type="dxa"/>
        <w:tblLayout w:type="autofit"/>
        <w:tblCellMar>
          <w:top w:w="0" w:type="dxa"/>
          <w:left w:w="108" w:type="dxa"/>
          <w:bottom w:w="0" w:type="dxa"/>
          <w:right w:w="108" w:type="dxa"/>
        </w:tblCellMar>
      </w:tblPr>
      <w:tblGrid>
        <w:gridCol w:w="1382"/>
        <w:gridCol w:w="3090"/>
        <w:gridCol w:w="4039"/>
      </w:tblGrid>
      <w:tr w14:paraId="6B48BEEE">
        <w:tblPrEx>
          <w:tblCellMar>
            <w:top w:w="0" w:type="dxa"/>
            <w:left w:w="108" w:type="dxa"/>
            <w:bottom w:w="0" w:type="dxa"/>
            <w:right w:w="108" w:type="dxa"/>
          </w:tblCellMar>
        </w:tblPrEx>
        <w:tc>
          <w:tcPr>
            <w:tcW w:w="1905" w:type="dxa"/>
            <w:tcBorders>
              <w:top w:val="single" w:color="222222" w:sz="6" w:space="0"/>
              <w:left w:val="single" w:color="222222" w:sz="6" w:space="0"/>
              <w:bottom w:val="single" w:color="222222" w:sz="6" w:space="0"/>
              <w:right w:val="single" w:color="222222" w:sz="6" w:space="0"/>
            </w:tcBorders>
          </w:tcPr>
          <w:p w14:paraId="3A745AB2">
            <w:pPr>
              <w:spacing w:line="288" w:lineRule="auto"/>
              <w:jc w:val="both"/>
            </w:pPr>
            <w:r>
              <w:rPr>
                <w:rFonts w:hint="eastAsia" w:ascii="微软雅黑" w:hAnsi="微软雅黑" w:eastAsia="微软雅黑"/>
                <w:sz w:val="24"/>
              </w:rPr>
              <w:t>功能模块</w:t>
            </w:r>
          </w:p>
        </w:tc>
        <w:tc>
          <w:tcPr>
            <w:tcW w:w="4440" w:type="dxa"/>
            <w:tcBorders>
              <w:top w:val="single" w:color="222222" w:sz="6" w:space="0"/>
              <w:left w:val="single" w:color="222222" w:sz="6" w:space="0"/>
              <w:bottom w:val="single" w:color="222222" w:sz="6" w:space="0"/>
              <w:right w:val="single" w:color="222222" w:sz="6" w:space="0"/>
            </w:tcBorders>
          </w:tcPr>
          <w:p w14:paraId="634EADA2">
            <w:pPr>
              <w:spacing w:line="288" w:lineRule="auto"/>
              <w:jc w:val="both"/>
            </w:pPr>
            <w:r>
              <w:rPr>
                <w:rFonts w:hint="eastAsia" w:ascii="微软雅黑" w:hAnsi="微软雅黑" w:eastAsia="微软雅黑"/>
                <w:sz w:val="24"/>
              </w:rPr>
              <w:t>特点描述</w:t>
            </w:r>
          </w:p>
        </w:tc>
        <w:tc>
          <w:tcPr>
            <w:tcW w:w="5925" w:type="dxa"/>
            <w:tcBorders>
              <w:top w:val="single" w:color="222222" w:sz="6" w:space="0"/>
              <w:left w:val="single" w:color="222222" w:sz="6" w:space="0"/>
              <w:bottom w:val="single" w:color="222222" w:sz="6" w:space="0"/>
              <w:right w:val="single" w:color="222222" w:sz="6" w:space="0"/>
            </w:tcBorders>
          </w:tcPr>
          <w:p w14:paraId="5B382B8C">
            <w:pPr>
              <w:spacing w:line="288" w:lineRule="auto"/>
              <w:jc w:val="both"/>
            </w:pPr>
            <w:r>
              <w:rPr>
                <w:rFonts w:hint="eastAsia" w:ascii="微软雅黑" w:hAnsi="微软雅黑" w:eastAsia="微软雅黑"/>
                <w:sz w:val="24"/>
              </w:rPr>
              <w:t>主要功能</w:t>
            </w:r>
          </w:p>
        </w:tc>
      </w:tr>
      <w:tr w14:paraId="0EBC2419">
        <w:tblPrEx>
          <w:tblCellMar>
            <w:top w:w="0" w:type="dxa"/>
            <w:left w:w="108" w:type="dxa"/>
            <w:bottom w:w="0" w:type="dxa"/>
            <w:right w:w="108" w:type="dxa"/>
          </w:tblCellMar>
        </w:tblPrEx>
        <w:tc>
          <w:tcPr>
            <w:tcW w:w="1905" w:type="dxa"/>
            <w:tcBorders>
              <w:top w:val="single" w:color="222222" w:sz="6" w:space="0"/>
              <w:left w:val="single" w:color="222222" w:sz="6" w:space="0"/>
              <w:bottom w:val="single" w:color="222222" w:sz="6" w:space="0"/>
              <w:right w:val="single" w:color="222222" w:sz="6" w:space="0"/>
            </w:tcBorders>
          </w:tcPr>
          <w:p w14:paraId="473DF9DC">
            <w:pPr>
              <w:spacing w:line="288" w:lineRule="auto"/>
              <w:jc w:val="both"/>
            </w:pPr>
            <w:r>
              <w:rPr>
                <w:rFonts w:hint="eastAsia" w:ascii="微软雅黑" w:hAnsi="微软雅黑" w:eastAsia="微软雅黑"/>
                <w:sz w:val="24"/>
              </w:rPr>
              <w:t>照明控制系统</w:t>
            </w:r>
          </w:p>
        </w:tc>
        <w:tc>
          <w:tcPr>
            <w:tcW w:w="4440" w:type="dxa"/>
            <w:tcBorders>
              <w:top w:val="single" w:color="222222" w:sz="6" w:space="0"/>
              <w:left w:val="single" w:color="222222" w:sz="6" w:space="0"/>
              <w:bottom w:val="single" w:color="222222" w:sz="6" w:space="0"/>
              <w:right w:val="single" w:color="222222" w:sz="6" w:space="0"/>
            </w:tcBorders>
          </w:tcPr>
          <w:p w14:paraId="1C4DF03A">
            <w:pPr>
              <w:spacing w:line="288" w:lineRule="auto"/>
              <w:jc w:val="both"/>
            </w:pPr>
            <w:r>
              <w:rPr>
                <w:rFonts w:hint="eastAsia" w:ascii="微软雅黑" w:hAnsi="微软雅黑" w:eastAsia="微软雅黑"/>
                <w:sz w:val="24"/>
              </w:rPr>
              <w:t>采用先进传感器技术和智能算法</w:t>
            </w:r>
          </w:p>
        </w:tc>
        <w:tc>
          <w:tcPr>
            <w:tcW w:w="5925" w:type="dxa"/>
            <w:tcBorders>
              <w:top w:val="single" w:color="222222" w:sz="6" w:space="0"/>
              <w:left w:val="single" w:color="222222" w:sz="6" w:space="0"/>
              <w:bottom w:val="single" w:color="222222" w:sz="6" w:space="0"/>
              <w:right w:val="single" w:color="222222" w:sz="6" w:space="0"/>
            </w:tcBorders>
          </w:tcPr>
          <w:p w14:paraId="76380CE9">
            <w:pPr>
              <w:spacing w:line="288" w:lineRule="auto"/>
              <w:jc w:val="both"/>
            </w:pPr>
            <w:r>
              <w:rPr>
                <w:rFonts w:hint="eastAsia" w:ascii="微软雅黑" w:hAnsi="微软雅黑" w:eastAsia="微软雅黑"/>
                <w:sz w:val="24"/>
              </w:rPr>
              <w:t>自动调节照明亮度、远程控制、定时控制</w:t>
            </w:r>
          </w:p>
        </w:tc>
      </w:tr>
      <w:tr w14:paraId="7D413976">
        <w:tblPrEx>
          <w:tblCellMar>
            <w:top w:w="0" w:type="dxa"/>
            <w:left w:w="108" w:type="dxa"/>
            <w:bottom w:w="0" w:type="dxa"/>
            <w:right w:w="108" w:type="dxa"/>
          </w:tblCellMar>
        </w:tblPrEx>
        <w:tc>
          <w:tcPr>
            <w:tcW w:w="1905" w:type="dxa"/>
            <w:tcBorders>
              <w:top w:val="single" w:color="222222" w:sz="6" w:space="0"/>
              <w:left w:val="single" w:color="222222" w:sz="6" w:space="0"/>
              <w:bottom w:val="single" w:color="222222" w:sz="6" w:space="0"/>
              <w:right w:val="single" w:color="222222" w:sz="6" w:space="0"/>
            </w:tcBorders>
          </w:tcPr>
          <w:p w14:paraId="71B46459">
            <w:pPr>
              <w:spacing w:line="288" w:lineRule="auto"/>
              <w:jc w:val="both"/>
            </w:pPr>
            <w:r>
              <w:rPr>
                <w:rFonts w:hint="eastAsia" w:ascii="微软雅黑" w:hAnsi="微软雅黑" w:eastAsia="微软雅黑"/>
                <w:sz w:val="24"/>
              </w:rPr>
              <w:t>空调与通风系统</w:t>
            </w:r>
          </w:p>
        </w:tc>
        <w:tc>
          <w:tcPr>
            <w:tcW w:w="4440" w:type="dxa"/>
            <w:tcBorders>
              <w:top w:val="single" w:color="222222" w:sz="6" w:space="0"/>
              <w:left w:val="single" w:color="222222" w:sz="6" w:space="0"/>
              <w:bottom w:val="single" w:color="222222" w:sz="6" w:space="0"/>
              <w:right w:val="single" w:color="222222" w:sz="6" w:space="0"/>
            </w:tcBorders>
          </w:tcPr>
          <w:p w14:paraId="41C6F617">
            <w:pPr>
              <w:spacing w:line="288" w:lineRule="auto"/>
              <w:jc w:val="both"/>
            </w:pPr>
            <w:r>
              <w:rPr>
                <w:rFonts w:hint="eastAsia" w:ascii="微软雅黑" w:hAnsi="微软雅黑" w:eastAsia="微软雅黑"/>
                <w:sz w:val="24"/>
              </w:rPr>
              <w:t>利用温控技术和空气质量传感器</w:t>
            </w:r>
          </w:p>
        </w:tc>
        <w:tc>
          <w:tcPr>
            <w:tcW w:w="5925" w:type="dxa"/>
            <w:tcBorders>
              <w:top w:val="single" w:color="222222" w:sz="6" w:space="0"/>
              <w:left w:val="single" w:color="222222" w:sz="6" w:space="0"/>
              <w:bottom w:val="single" w:color="222222" w:sz="6" w:space="0"/>
              <w:right w:val="single" w:color="222222" w:sz="6" w:space="0"/>
            </w:tcBorders>
          </w:tcPr>
          <w:p w14:paraId="25C6243D">
            <w:pPr>
              <w:spacing w:line="288" w:lineRule="auto"/>
              <w:jc w:val="both"/>
            </w:pPr>
            <w:r>
              <w:rPr>
                <w:rFonts w:hint="eastAsia" w:ascii="微软雅黑" w:hAnsi="微软雅黑" w:eastAsia="微软雅黑"/>
                <w:sz w:val="24"/>
              </w:rPr>
              <w:t>自动调节空调温度和风速、监测室内空气质量、通风换气</w:t>
            </w:r>
          </w:p>
        </w:tc>
      </w:tr>
      <w:tr w14:paraId="3DD24419">
        <w:tblPrEx>
          <w:tblCellMar>
            <w:top w:w="0" w:type="dxa"/>
            <w:left w:w="108" w:type="dxa"/>
            <w:bottom w:w="0" w:type="dxa"/>
            <w:right w:w="108" w:type="dxa"/>
          </w:tblCellMar>
        </w:tblPrEx>
        <w:tc>
          <w:tcPr>
            <w:tcW w:w="1905" w:type="dxa"/>
            <w:tcBorders>
              <w:top w:val="single" w:color="222222" w:sz="6" w:space="0"/>
              <w:left w:val="single" w:color="222222" w:sz="6" w:space="0"/>
              <w:bottom w:val="single" w:color="222222" w:sz="6" w:space="0"/>
              <w:right w:val="single" w:color="222222" w:sz="6" w:space="0"/>
            </w:tcBorders>
          </w:tcPr>
          <w:p w14:paraId="2DEA2321">
            <w:pPr>
              <w:spacing w:line="288" w:lineRule="auto"/>
              <w:jc w:val="both"/>
            </w:pPr>
            <w:r>
              <w:rPr>
                <w:rFonts w:hint="eastAsia" w:ascii="微软雅黑" w:hAnsi="微软雅黑" w:eastAsia="微软雅黑"/>
                <w:sz w:val="24"/>
              </w:rPr>
              <w:t>给排水系统</w:t>
            </w:r>
          </w:p>
        </w:tc>
        <w:tc>
          <w:tcPr>
            <w:tcW w:w="4440" w:type="dxa"/>
            <w:tcBorders>
              <w:top w:val="single" w:color="222222" w:sz="6" w:space="0"/>
              <w:left w:val="single" w:color="222222" w:sz="6" w:space="0"/>
              <w:bottom w:val="single" w:color="222222" w:sz="6" w:space="0"/>
              <w:right w:val="single" w:color="222222" w:sz="6" w:space="0"/>
            </w:tcBorders>
          </w:tcPr>
          <w:p w14:paraId="5213911E">
            <w:pPr>
              <w:spacing w:line="288" w:lineRule="auto"/>
              <w:jc w:val="both"/>
            </w:pPr>
            <w:r>
              <w:rPr>
                <w:rFonts w:hint="eastAsia" w:ascii="微软雅黑" w:hAnsi="微软雅黑" w:eastAsia="微软雅黑"/>
                <w:sz w:val="24"/>
              </w:rPr>
              <w:t>利用水泵和阀门等设备</w:t>
            </w:r>
          </w:p>
        </w:tc>
        <w:tc>
          <w:tcPr>
            <w:tcW w:w="5925" w:type="dxa"/>
            <w:tcBorders>
              <w:top w:val="single" w:color="222222" w:sz="6" w:space="0"/>
              <w:left w:val="single" w:color="222222" w:sz="6" w:space="0"/>
              <w:bottom w:val="single" w:color="222222" w:sz="6" w:space="0"/>
              <w:right w:val="single" w:color="222222" w:sz="6" w:space="0"/>
            </w:tcBorders>
          </w:tcPr>
          <w:p w14:paraId="17D2F87D">
            <w:pPr>
              <w:spacing w:line="288" w:lineRule="auto"/>
              <w:jc w:val="both"/>
            </w:pPr>
            <w:r>
              <w:rPr>
                <w:rFonts w:hint="eastAsia" w:ascii="微软雅黑" w:hAnsi="微软雅黑" w:eastAsia="微软雅黑"/>
                <w:sz w:val="24"/>
              </w:rPr>
              <w:t>自动调整水泵转速和阀门开度、漏水检测和报警</w:t>
            </w:r>
          </w:p>
        </w:tc>
      </w:tr>
      <w:tr w14:paraId="05543270">
        <w:tblPrEx>
          <w:tblCellMar>
            <w:top w:w="0" w:type="dxa"/>
            <w:left w:w="108" w:type="dxa"/>
            <w:bottom w:w="0" w:type="dxa"/>
            <w:right w:w="108" w:type="dxa"/>
          </w:tblCellMar>
        </w:tblPrEx>
        <w:tc>
          <w:tcPr>
            <w:tcW w:w="1905" w:type="dxa"/>
            <w:tcBorders>
              <w:top w:val="single" w:color="222222" w:sz="6" w:space="0"/>
              <w:left w:val="single" w:color="222222" w:sz="6" w:space="0"/>
              <w:bottom w:val="single" w:color="222222" w:sz="6" w:space="0"/>
              <w:right w:val="single" w:color="222222" w:sz="6" w:space="0"/>
            </w:tcBorders>
          </w:tcPr>
          <w:p w14:paraId="27777BF6">
            <w:pPr>
              <w:spacing w:line="288" w:lineRule="auto"/>
              <w:jc w:val="both"/>
            </w:pPr>
            <w:r>
              <w:rPr>
                <w:rFonts w:hint="eastAsia" w:ascii="微软雅黑" w:hAnsi="微软雅黑" w:eastAsia="微软雅黑"/>
                <w:sz w:val="24"/>
              </w:rPr>
              <w:t>消防与安全系统</w:t>
            </w:r>
          </w:p>
        </w:tc>
        <w:tc>
          <w:tcPr>
            <w:tcW w:w="4440" w:type="dxa"/>
            <w:tcBorders>
              <w:top w:val="single" w:color="222222" w:sz="6" w:space="0"/>
              <w:left w:val="single" w:color="222222" w:sz="6" w:space="0"/>
              <w:bottom w:val="single" w:color="222222" w:sz="6" w:space="0"/>
              <w:right w:val="single" w:color="222222" w:sz="6" w:space="0"/>
            </w:tcBorders>
          </w:tcPr>
          <w:p w14:paraId="4B0BFE05">
            <w:pPr>
              <w:spacing w:line="288" w:lineRule="auto"/>
              <w:jc w:val="both"/>
            </w:pPr>
            <w:r>
              <w:rPr>
                <w:rFonts w:hint="eastAsia" w:ascii="微软雅黑" w:hAnsi="微软雅黑" w:eastAsia="微软雅黑"/>
                <w:sz w:val="24"/>
              </w:rPr>
              <w:t>包括火灾报警、烟雾探测、紧急疏散等功能</w:t>
            </w:r>
          </w:p>
        </w:tc>
        <w:tc>
          <w:tcPr>
            <w:tcW w:w="5925" w:type="dxa"/>
            <w:tcBorders>
              <w:top w:val="single" w:color="222222" w:sz="6" w:space="0"/>
              <w:left w:val="single" w:color="222222" w:sz="6" w:space="0"/>
              <w:bottom w:val="single" w:color="222222" w:sz="6" w:space="0"/>
              <w:right w:val="single" w:color="222222" w:sz="6" w:space="0"/>
            </w:tcBorders>
          </w:tcPr>
          <w:p w14:paraId="709D5A94">
            <w:pPr>
              <w:spacing w:line="288" w:lineRule="auto"/>
              <w:jc w:val="both"/>
            </w:pPr>
            <w:r>
              <w:rPr>
                <w:rFonts w:hint="eastAsia" w:ascii="微软雅黑" w:hAnsi="微软雅黑" w:eastAsia="微软雅黑"/>
                <w:sz w:val="24"/>
              </w:rPr>
              <w:t>实时监测火灾隐患、联动控制照明和电梯等设备、应急响应</w:t>
            </w:r>
          </w:p>
        </w:tc>
      </w:tr>
    </w:tbl>
    <w:p w14:paraId="1A545A60">
      <w:pPr>
        <w:spacing w:line="288" w:lineRule="auto"/>
        <w:ind w:firstLineChars="200"/>
        <w:jc w:val="both"/>
      </w:pPr>
    </w:p>
    <w:p w14:paraId="27A976CE">
      <w:pPr>
        <w:spacing w:line="288" w:lineRule="auto"/>
        <w:ind w:firstLineChars="200"/>
        <w:jc w:val="both"/>
      </w:pPr>
    </w:p>
    <w:p w14:paraId="52A66817">
      <w:pPr>
        <w:spacing w:line="288" w:lineRule="auto"/>
        <w:ind w:firstLine="480" w:firstLineChars="200"/>
        <w:jc w:val="both"/>
      </w:pPr>
      <w:r>
        <w:rPr>
          <w:rFonts w:hint="eastAsia" w:ascii="微软雅黑" w:hAnsi="微软雅黑" w:eastAsia="微软雅黑"/>
          <w:sz w:val="24"/>
        </w:rPr>
        <w:t>表格：各功能模块节能与安全性对比</w:t>
      </w:r>
    </w:p>
    <w:tbl>
      <w:tblPr>
        <w:tblStyle w:val="11"/>
        <w:tblW w:w="0" w:type="dxa"/>
        <w:tblInd w:w="0" w:type="dxa"/>
        <w:tblLayout w:type="autofit"/>
        <w:tblCellMar>
          <w:top w:w="0" w:type="dxa"/>
          <w:left w:w="108" w:type="dxa"/>
          <w:bottom w:w="0" w:type="dxa"/>
          <w:right w:w="108" w:type="dxa"/>
        </w:tblCellMar>
      </w:tblPr>
      <w:tblGrid>
        <w:gridCol w:w="1381"/>
        <w:gridCol w:w="3364"/>
        <w:gridCol w:w="3766"/>
      </w:tblGrid>
      <w:tr w14:paraId="0457255A">
        <w:tblPrEx>
          <w:tblCellMar>
            <w:top w:w="0" w:type="dxa"/>
            <w:left w:w="108" w:type="dxa"/>
            <w:bottom w:w="0" w:type="dxa"/>
            <w:right w:w="108" w:type="dxa"/>
          </w:tblCellMar>
        </w:tblPrEx>
        <w:tc>
          <w:tcPr>
            <w:tcW w:w="1905" w:type="dxa"/>
            <w:tcBorders>
              <w:top w:val="single" w:color="222222" w:sz="6" w:space="0"/>
              <w:left w:val="single" w:color="222222" w:sz="6" w:space="0"/>
              <w:bottom w:val="single" w:color="222222" w:sz="6" w:space="0"/>
              <w:right w:val="single" w:color="222222" w:sz="6" w:space="0"/>
            </w:tcBorders>
          </w:tcPr>
          <w:p w14:paraId="0338B6B8">
            <w:pPr>
              <w:spacing w:line="288" w:lineRule="auto"/>
              <w:jc w:val="both"/>
            </w:pPr>
            <w:r>
              <w:rPr>
                <w:rFonts w:hint="eastAsia" w:ascii="微软雅黑" w:hAnsi="微软雅黑" w:eastAsia="微软雅黑"/>
                <w:sz w:val="24"/>
              </w:rPr>
              <w:t>功能模块</w:t>
            </w:r>
          </w:p>
        </w:tc>
        <w:tc>
          <w:tcPr>
            <w:tcW w:w="4875" w:type="dxa"/>
            <w:tcBorders>
              <w:top w:val="single" w:color="222222" w:sz="6" w:space="0"/>
              <w:left w:val="single" w:color="222222" w:sz="6" w:space="0"/>
              <w:bottom w:val="single" w:color="222222" w:sz="6" w:space="0"/>
              <w:right w:val="single" w:color="222222" w:sz="6" w:space="0"/>
            </w:tcBorders>
          </w:tcPr>
          <w:p w14:paraId="4B9253D3">
            <w:pPr>
              <w:spacing w:line="288" w:lineRule="auto"/>
              <w:jc w:val="both"/>
            </w:pPr>
            <w:r>
              <w:rPr>
                <w:rFonts w:hint="eastAsia" w:ascii="微软雅黑" w:hAnsi="微软雅黑" w:eastAsia="微软雅黑"/>
                <w:sz w:val="24"/>
              </w:rPr>
              <w:t>节能效果</w:t>
            </w:r>
          </w:p>
        </w:tc>
        <w:tc>
          <w:tcPr>
            <w:tcW w:w="5505" w:type="dxa"/>
            <w:tcBorders>
              <w:top w:val="single" w:color="222222" w:sz="6" w:space="0"/>
              <w:left w:val="single" w:color="222222" w:sz="6" w:space="0"/>
              <w:bottom w:val="single" w:color="222222" w:sz="6" w:space="0"/>
              <w:right w:val="single" w:color="222222" w:sz="6" w:space="0"/>
            </w:tcBorders>
          </w:tcPr>
          <w:p w14:paraId="32075AAE">
            <w:pPr>
              <w:spacing w:line="288" w:lineRule="auto"/>
              <w:jc w:val="both"/>
            </w:pPr>
            <w:r>
              <w:rPr>
                <w:rFonts w:hint="eastAsia" w:ascii="微软雅黑" w:hAnsi="微软雅黑" w:eastAsia="微软雅黑"/>
                <w:sz w:val="24"/>
              </w:rPr>
              <w:t>安全性描述</w:t>
            </w:r>
          </w:p>
        </w:tc>
      </w:tr>
      <w:tr w14:paraId="1CC48BD0">
        <w:tblPrEx>
          <w:tblCellMar>
            <w:top w:w="0" w:type="dxa"/>
            <w:left w:w="108" w:type="dxa"/>
            <w:bottom w:w="0" w:type="dxa"/>
            <w:right w:w="108" w:type="dxa"/>
          </w:tblCellMar>
        </w:tblPrEx>
        <w:tc>
          <w:tcPr>
            <w:tcW w:w="1905" w:type="dxa"/>
            <w:tcBorders>
              <w:top w:val="single" w:color="222222" w:sz="6" w:space="0"/>
              <w:left w:val="single" w:color="222222" w:sz="6" w:space="0"/>
              <w:bottom w:val="single" w:color="222222" w:sz="6" w:space="0"/>
              <w:right w:val="single" w:color="222222" w:sz="6" w:space="0"/>
            </w:tcBorders>
          </w:tcPr>
          <w:p w14:paraId="1BBB2419">
            <w:pPr>
              <w:spacing w:line="288" w:lineRule="auto"/>
              <w:jc w:val="both"/>
            </w:pPr>
            <w:r>
              <w:rPr>
                <w:rFonts w:hint="eastAsia" w:ascii="微软雅黑" w:hAnsi="微软雅黑" w:eastAsia="微软雅黑"/>
                <w:sz w:val="24"/>
              </w:rPr>
              <w:t>照明控制系统</w:t>
            </w:r>
          </w:p>
        </w:tc>
        <w:tc>
          <w:tcPr>
            <w:tcW w:w="4875" w:type="dxa"/>
            <w:tcBorders>
              <w:top w:val="single" w:color="222222" w:sz="6" w:space="0"/>
              <w:left w:val="single" w:color="222222" w:sz="6" w:space="0"/>
              <w:bottom w:val="single" w:color="222222" w:sz="6" w:space="0"/>
              <w:right w:val="single" w:color="222222" w:sz="6" w:space="0"/>
            </w:tcBorders>
          </w:tcPr>
          <w:p w14:paraId="7F1CA6B6">
            <w:pPr>
              <w:spacing w:line="288" w:lineRule="auto"/>
              <w:jc w:val="both"/>
            </w:pPr>
            <w:r>
              <w:rPr>
                <w:rFonts w:hint="eastAsia" w:ascii="微软雅黑" w:hAnsi="微软雅黑" w:eastAsia="微软雅黑"/>
                <w:sz w:val="24"/>
              </w:rPr>
              <w:t>根据环境光线自动调节，节能降耗</w:t>
            </w:r>
          </w:p>
        </w:tc>
        <w:tc>
          <w:tcPr>
            <w:tcW w:w="5505" w:type="dxa"/>
            <w:tcBorders>
              <w:top w:val="single" w:color="222222" w:sz="6" w:space="0"/>
              <w:left w:val="single" w:color="222222" w:sz="6" w:space="0"/>
              <w:bottom w:val="single" w:color="222222" w:sz="6" w:space="0"/>
              <w:right w:val="single" w:color="222222" w:sz="6" w:space="0"/>
            </w:tcBorders>
          </w:tcPr>
          <w:p w14:paraId="2A839B89">
            <w:pPr>
              <w:spacing w:line="288" w:lineRule="auto"/>
              <w:jc w:val="both"/>
            </w:pPr>
            <w:r>
              <w:rPr>
                <w:rFonts w:hint="eastAsia" w:ascii="微软雅黑" w:hAnsi="微软雅黑" w:eastAsia="微软雅黑"/>
                <w:sz w:val="24"/>
              </w:rPr>
              <w:t>远程控制功能提高使用的便捷性和灵活性</w:t>
            </w:r>
          </w:p>
        </w:tc>
      </w:tr>
      <w:tr w14:paraId="5096982A">
        <w:tblPrEx>
          <w:tblCellMar>
            <w:top w:w="0" w:type="dxa"/>
            <w:left w:w="108" w:type="dxa"/>
            <w:bottom w:w="0" w:type="dxa"/>
            <w:right w:w="108" w:type="dxa"/>
          </w:tblCellMar>
        </w:tblPrEx>
        <w:tc>
          <w:tcPr>
            <w:tcW w:w="1905" w:type="dxa"/>
            <w:tcBorders>
              <w:top w:val="single" w:color="222222" w:sz="6" w:space="0"/>
              <w:left w:val="single" w:color="222222" w:sz="6" w:space="0"/>
              <w:bottom w:val="single" w:color="222222" w:sz="6" w:space="0"/>
              <w:right w:val="single" w:color="222222" w:sz="6" w:space="0"/>
            </w:tcBorders>
          </w:tcPr>
          <w:p w14:paraId="098DB36B">
            <w:pPr>
              <w:spacing w:line="288" w:lineRule="auto"/>
              <w:jc w:val="both"/>
            </w:pPr>
            <w:r>
              <w:rPr>
                <w:rFonts w:hint="eastAsia" w:ascii="微软雅黑" w:hAnsi="微软雅黑" w:eastAsia="微软雅黑"/>
                <w:sz w:val="24"/>
              </w:rPr>
              <w:t>空调与通风系统</w:t>
            </w:r>
          </w:p>
        </w:tc>
        <w:tc>
          <w:tcPr>
            <w:tcW w:w="4875" w:type="dxa"/>
            <w:tcBorders>
              <w:top w:val="single" w:color="222222" w:sz="6" w:space="0"/>
              <w:left w:val="single" w:color="222222" w:sz="6" w:space="0"/>
              <w:bottom w:val="single" w:color="222222" w:sz="6" w:space="0"/>
              <w:right w:val="single" w:color="222222" w:sz="6" w:space="0"/>
            </w:tcBorders>
          </w:tcPr>
          <w:p w14:paraId="752BE43C">
            <w:pPr>
              <w:spacing w:line="288" w:lineRule="auto"/>
              <w:jc w:val="both"/>
            </w:pPr>
            <w:r>
              <w:rPr>
                <w:rFonts w:hint="eastAsia" w:ascii="微软雅黑" w:hAnsi="微软雅黑" w:eastAsia="微软雅黑"/>
                <w:sz w:val="24"/>
              </w:rPr>
              <w:t>根据室内外温湿度差异自动调节，节能高效</w:t>
            </w:r>
          </w:p>
        </w:tc>
        <w:tc>
          <w:tcPr>
            <w:tcW w:w="5505" w:type="dxa"/>
            <w:tcBorders>
              <w:top w:val="single" w:color="222222" w:sz="6" w:space="0"/>
              <w:left w:val="single" w:color="222222" w:sz="6" w:space="0"/>
              <w:bottom w:val="single" w:color="222222" w:sz="6" w:space="0"/>
              <w:right w:val="single" w:color="222222" w:sz="6" w:space="0"/>
            </w:tcBorders>
          </w:tcPr>
          <w:p w14:paraId="399ADD2F">
            <w:pPr>
              <w:spacing w:line="288" w:lineRule="auto"/>
              <w:jc w:val="both"/>
            </w:pPr>
            <w:r>
              <w:rPr>
                <w:rFonts w:hint="eastAsia" w:ascii="微软雅黑" w:hAnsi="微软雅黑" w:eastAsia="微软雅黑"/>
                <w:sz w:val="24"/>
              </w:rPr>
              <w:t>实时监测室内空气质量，保持空气清新</w:t>
            </w:r>
          </w:p>
        </w:tc>
      </w:tr>
      <w:tr w14:paraId="63BE12A9">
        <w:tblPrEx>
          <w:tblCellMar>
            <w:top w:w="0" w:type="dxa"/>
            <w:left w:w="108" w:type="dxa"/>
            <w:bottom w:w="0" w:type="dxa"/>
            <w:right w:w="108" w:type="dxa"/>
          </w:tblCellMar>
        </w:tblPrEx>
        <w:tc>
          <w:tcPr>
            <w:tcW w:w="1905" w:type="dxa"/>
            <w:tcBorders>
              <w:top w:val="single" w:color="222222" w:sz="6" w:space="0"/>
              <w:left w:val="single" w:color="222222" w:sz="6" w:space="0"/>
              <w:bottom w:val="single" w:color="222222" w:sz="6" w:space="0"/>
              <w:right w:val="single" w:color="222222" w:sz="6" w:space="0"/>
            </w:tcBorders>
          </w:tcPr>
          <w:p w14:paraId="148D83ED">
            <w:pPr>
              <w:spacing w:line="288" w:lineRule="auto"/>
              <w:jc w:val="both"/>
            </w:pPr>
            <w:r>
              <w:rPr>
                <w:rFonts w:hint="eastAsia" w:ascii="微软雅黑" w:hAnsi="微软雅黑" w:eastAsia="微软雅黑"/>
                <w:sz w:val="24"/>
              </w:rPr>
              <w:t>给排水系统</w:t>
            </w:r>
          </w:p>
        </w:tc>
        <w:tc>
          <w:tcPr>
            <w:tcW w:w="4875" w:type="dxa"/>
            <w:tcBorders>
              <w:top w:val="single" w:color="222222" w:sz="6" w:space="0"/>
              <w:left w:val="single" w:color="222222" w:sz="6" w:space="0"/>
              <w:bottom w:val="single" w:color="222222" w:sz="6" w:space="0"/>
              <w:right w:val="single" w:color="222222" w:sz="6" w:space="0"/>
            </w:tcBorders>
          </w:tcPr>
          <w:p w14:paraId="58830864">
            <w:pPr>
              <w:spacing w:line="288" w:lineRule="auto"/>
              <w:jc w:val="both"/>
            </w:pPr>
            <w:r>
              <w:rPr>
                <w:rFonts w:hint="eastAsia" w:ascii="微软雅黑" w:hAnsi="微软雅黑" w:eastAsia="微软雅黑"/>
                <w:sz w:val="24"/>
              </w:rPr>
              <w:t>自动调整水泵转速和阀门开度，减少水资源浪费</w:t>
            </w:r>
          </w:p>
        </w:tc>
        <w:tc>
          <w:tcPr>
            <w:tcW w:w="5505" w:type="dxa"/>
            <w:tcBorders>
              <w:top w:val="single" w:color="222222" w:sz="6" w:space="0"/>
              <w:left w:val="single" w:color="222222" w:sz="6" w:space="0"/>
              <w:bottom w:val="single" w:color="222222" w:sz="6" w:space="0"/>
              <w:right w:val="single" w:color="222222" w:sz="6" w:space="0"/>
            </w:tcBorders>
          </w:tcPr>
          <w:p w14:paraId="225F3E6F">
            <w:pPr>
              <w:spacing w:line="288" w:lineRule="auto"/>
              <w:jc w:val="both"/>
            </w:pPr>
            <w:r>
              <w:rPr>
                <w:rFonts w:hint="eastAsia" w:ascii="微软雅黑" w:hAnsi="微软雅黑" w:eastAsia="微软雅黑"/>
                <w:sz w:val="24"/>
              </w:rPr>
              <w:t>漏水检测和报警功能，防止财产损失</w:t>
            </w:r>
          </w:p>
        </w:tc>
      </w:tr>
      <w:tr w14:paraId="25F7440F">
        <w:tblPrEx>
          <w:tblCellMar>
            <w:top w:w="0" w:type="dxa"/>
            <w:left w:w="108" w:type="dxa"/>
            <w:bottom w:w="0" w:type="dxa"/>
            <w:right w:w="108" w:type="dxa"/>
          </w:tblCellMar>
        </w:tblPrEx>
        <w:tc>
          <w:tcPr>
            <w:tcW w:w="1905" w:type="dxa"/>
            <w:tcBorders>
              <w:top w:val="single" w:color="222222" w:sz="6" w:space="0"/>
              <w:left w:val="single" w:color="222222" w:sz="6" w:space="0"/>
              <w:bottom w:val="single" w:color="222222" w:sz="6" w:space="0"/>
              <w:right w:val="single" w:color="222222" w:sz="6" w:space="0"/>
            </w:tcBorders>
          </w:tcPr>
          <w:p w14:paraId="70AA0823">
            <w:pPr>
              <w:spacing w:line="288" w:lineRule="auto"/>
              <w:jc w:val="both"/>
            </w:pPr>
            <w:r>
              <w:rPr>
                <w:rFonts w:hint="eastAsia" w:ascii="微软雅黑" w:hAnsi="微软雅黑" w:eastAsia="微软雅黑"/>
                <w:sz w:val="24"/>
              </w:rPr>
              <w:t>消防与安全系统</w:t>
            </w:r>
          </w:p>
        </w:tc>
        <w:tc>
          <w:tcPr>
            <w:tcW w:w="4875" w:type="dxa"/>
            <w:tcBorders>
              <w:top w:val="single" w:color="222222" w:sz="6" w:space="0"/>
              <w:left w:val="single" w:color="222222" w:sz="6" w:space="0"/>
              <w:bottom w:val="single" w:color="222222" w:sz="6" w:space="0"/>
              <w:right w:val="single" w:color="222222" w:sz="6" w:space="0"/>
            </w:tcBorders>
          </w:tcPr>
          <w:p w14:paraId="721D1A84">
            <w:pPr>
              <w:spacing w:line="288" w:lineRule="auto"/>
              <w:jc w:val="both"/>
            </w:pPr>
            <w:r>
              <w:rPr>
                <w:rFonts w:hint="eastAsia" w:ascii="微软雅黑" w:hAnsi="微软雅黑" w:eastAsia="微软雅黑"/>
                <w:sz w:val="24"/>
              </w:rPr>
              <w:t>_</w:t>
            </w:r>
          </w:p>
        </w:tc>
        <w:tc>
          <w:tcPr>
            <w:tcW w:w="5505" w:type="dxa"/>
            <w:tcBorders>
              <w:top w:val="single" w:color="222222" w:sz="6" w:space="0"/>
              <w:left w:val="single" w:color="222222" w:sz="6" w:space="0"/>
              <w:bottom w:val="single" w:color="222222" w:sz="6" w:space="0"/>
              <w:right w:val="single" w:color="222222" w:sz="6" w:space="0"/>
            </w:tcBorders>
          </w:tcPr>
          <w:p w14:paraId="77C5DE55">
            <w:pPr>
              <w:spacing w:line="288" w:lineRule="auto"/>
              <w:jc w:val="both"/>
            </w:pPr>
            <w:r>
              <w:rPr>
                <w:rFonts w:hint="eastAsia" w:ascii="微软雅黑" w:hAnsi="微软雅黑" w:eastAsia="微软雅黑"/>
                <w:sz w:val="24"/>
              </w:rPr>
              <w:t>实时监测火灾隐患，提高应急响应效率，保障人员安全</w:t>
            </w:r>
          </w:p>
        </w:tc>
      </w:tr>
    </w:tbl>
    <w:p w14:paraId="4107E449">
      <w:pPr>
        <w:spacing w:line="288" w:lineRule="auto"/>
        <w:ind w:firstLineChars="200"/>
        <w:jc w:val="both"/>
      </w:pPr>
    </w:p>
    <w:p w14:paraId="3B39A20A">
      <w:pPr>
        <w:pStyle w:val="3"/>
        <w:spacing w:line="288" w:lineRule="auto"/>
      </w:pPr>
      <w:r>
        <w:rPr>
          <w:rFonts w:hint="eastAsia" w:ascii="微软雅黑" w:hAnsi="微软雅黑" w:eastAsia="微软雅黑"/>
          <w:b/>
          <w:sz w:val="36"/>
        </w:rPr>
        <w:t>安全与防护措施</w:t>
      </w:r>
    </w:p>
    <w:p w14:paraId="20B0AEB3">
      <w:pPr>
        <w:pStyle w:val="4"/>
        <w:spacing w:line="288" w:lineRule="auto"/>
      </w:pPr>
      <w:r>
        <w:rPr>
          <w:rFonts w:hint="eastAsia" w:ascii="微软雅黑" w:hAnsi="微软雅黑" w:eastAsia="微软雅黑"/>
          <w:sz w:val="36"/>
        </w:rPr>
        <w:t>系统安全防护措施</w:t>
      </w:r>
    </w:p>
    <w:p w14:paraId="7D5C0103">
      <w:pPr>
        <w:spacing w:line="288" w:lineRule="auto"/>
        <w:ind w:firstLine="480" w:firstLineChars="200"/>
        <w:jc w:val="both"/>
      </w:pPr>
      <w:r>
        <w:rPr>
          <w:rFonts w:hint="eastAsia" w:ascii="微软雅黑" w:hAnsi="微软雅黑" w:eastAsia="微软雅黑"/>
          <w:sz w:val="24"/>
        </w:rPr>
        <w:t>系统采用多重安全防护措施，包括防火墙、入侵检测、数据加密等，确保系统免受黑客攻击和数据泄露等安全威胁。防火墙用于监控和过滤进出系统的网络流量，防止未经授权的访问和攻击行为；入侵检测系统实时监测系统的运行状态和访问行为，发现可疑活动及时报警；数据加密技术对敏感数据进行加密处理，确保数据在传输和存储过程中的安全性。同时，系统还具备权限管理功能，只有授权人员才能访问和操作系统。</w:t>
      </w:r>
    </w:p>
    <w:p w14:paraId="39133871">
      <w:pPr>
        <w:pStyle w:val="4"/>
        <w:spacing w:line="288" w:lineRule="auto"/>
      </w:pPr>
      <w:r>
        <w:rPr>
          <w:rFonts w:hint="eastAsia" w:ascii="微软雅黑" w:hAnsi="微软雅黑" w:eastAsia="微软雅黑"/>
          <w:sz w:val="36"/>
        </w:rPr>
        <w:t>操作人员安全须知</w:t>
      </w:r>
    </w:p>
    <w:p w14:paraId="555881D0">
      <w:pPr>
        <w:spacing w:line="288" w:lineRule="auto"/>
        <w:ind w:firstLine="480" w:firstLineChars="200"/>
        <w:jc w:val="both"/>
      </w:pPr>
      <w:r>
        <w:rPr>
          <w:rFonts w:hint="eastAsia" w:ascii="微软雅黑" w:hAnsi="微软雅黑" w:eastAsia="微软雅黑"/>
          <w:sz w:val="24"/>
        </w:rPr>
        <w:t>操作人员需严格遵守操作规程和安全须知，确保在操作过程中不造成人身伤害和设备损坏。在开始操作前，操作人员必须接受全面的安全培训，了解潜在的安全风险和应急处理措施。在操作过程中，要时刻保持警惕，避免因疏忽大意导致的安全事故。此外，定期对操作人员进行安全培训和考核也是必不可少的，这有助于提高他们的安全意识和操作技能。</w:t>
      </w:r>
    </w:p>
    <w:p w14:paraId="5270499C">
      <w:pPr>
        <w:pStyle w:val="4"/>
        <w:spacing w:line="288" w:lineRule="auto"/>
      </w:pPr>
      <w:r>
        <w:rPr>
          <w:rFonts w:hint="eastAsia" w:ascii="微软雅黑" w:hAnsi="微软雅黑" w:eastAsia="微软雅黑"/>
          <w:sz w:val="36"/>
        </w:rPr>
        <w:t>数据备份与恢复策略</w:t>
      </w:r>
    </w:p>
    <w:p w14:paraId="08978732">
      <w:pPr>
        <w:spacing w:line="288" w:lineRule="auto"/>
        <w:ind w:firstLine="480" w:firstLineChars="200"/>
        <w:jc w:val="both"/>
      </w:pPr>
      <w:r>
        <w:rPr>
          <w:rFonts w:hint="eastAsia" w:ascii="微软雅黑" w:hAnsi="微软雅黑" w:eastAsia="微软雅黑"/>
          <w:sz w:val="24"/>
        </w:rPr>
        <w:t>系统数据是系统正常运行的关键。为确保数据安全，需定期对系统数据进行备份，并建立完善的恢复策略。备份数据可以保存在本地或远程服务器上，以防止数据丢失或损坏。同时，要定期测试恢复程序，确保在紧急情况下能够迅速恢复数据。通过数据备份与恢复策略的实施，可以最大程度地保障系统数据的完整性和可用性，确保系统在遭受意外情况时仍能快速恢复正常运行状态。</w:t>
      </w:r>
    </w:p>
    <w:p w14:paraId="1A4CCEFF">
      <w:pPr>
        <w:pStyle w:val="3"/>
        <w:spacing w:line="288" w:lineRule="auto"/>
      </w:pPr>
      <w:r>
        <w:rPr>
          <w:rFonts w:hint="eastAsia" w:ascii="微软雅黑" w:hAnsi="微软雅黑" w:eastAsia="微软雅黑"/>
          <w:b/>
          <w:sz w:val="36"/>
        </w:rPr>
        <w:t>售后服务与支持</w:t>
      </w:r>
    </w:p>
    <w:p w14:paraId="2A57CD2A">
      <w:pPr>
        <w:pStyle w:val="4"/>
        <w:spacing w:line="288" w:lineRule="auto"/>
      </w:pPr>
      <w:r>
        <w:rPr>
          <w:rFonts w:hint="eastAsia" w:ascii="微软雅黑" w:hAnsi="微软雅黑" w:eastAsia="微软雅黑"/>
          <w:sz w:val="36"/>
        </w:rPr>
        <w:t>保修政策与期限</w:t>
      </w:r>
    </w:p>
    <w:p w14:paraId="771FF04D">
      <w:pPr>
        <w:spacing w:line="288" w:lineRule="auto"/>
        <w:ind w:firstLine="480" w:firstLineChars="200"/>
        <w:jc w:val="both"/>
      </w:pPr>
      <w:r>
        <w:rPr>
          <w:rFonts w:hint="eastAsia" w:ascii="微软雅黑" w:hAnsi="微软雅黑" w:eastAsia="微软雅黑"/>
          <w:sz w:val="24"/>
        </w:rPr>
        <w:t>我们为所有用户提供全面的保修服务，该服务涵盖了设备硬件设施以及预装或购买的正版软件产品的保修服务。对于设备保修部分，我们严格遵守国家及行业相关规定，并根据不同设备类型和合同约定，设定了合理且具有竞争力的保修期限。在此期限内，任何因制造缺陷导致的故障或损坏，均享有免费维修的权利，旨在让用户能够无忧使用，专注于业务发展，无需因设备问题而分散精力。</w:t>
      </w:r>
    </w:p>
    <w:p w14:paraId="0A670FB2">
      <w:pPr>
        <w:pStyle w:val="4"/>
        <w:spacing w:line="288" w:lineRule="auto"/>
      </w:pPr>
      <w:r>
        <w:rPr>
          <w:rFonts w:hint="eastAsia" w:ascii="微软雅黑" w:hAnsi="微软雅黑" w:eastAsia="微软雅黑"/>
          <w:sz w:val="36"/>
        </w:rPr>
        <w:t>技术支持与培训服务</w:t>
      </w:r>
    </w:p>
    <w:p w14:paraId="7C12B4D8">
      <w:pPr>
        <w:spacing w:line="288" w:lineRule="auto"/>
        <w:ind w:firstLine="480" w:firstLineChars="200"/>
        <w:jc w:val="both"/>
      </w:pPr>
      <w:r>
        <w:rPr>
          <w:rFonts w:hint="eastAsia" w:ascii="微软雅黑" w:hAnsi="微软雅黑" w:eastAsia="微软雅黑"/>
          <w:sz w:val="24"/>
        </w:rPr>
        <w:t>我们拥有一支专业且经验丰富的技术支持团队全天候待命，无论用户在使用过程中遇到何种问题或挑战，都能得到及时、准确的解答与指导。他们熟悉各类软硬件设备的性能特点及操作流程，能够迅速定位并解决各类技术难题。</w:t>
      </w:r>
    </w:p>
    <w:p w14:paraId="73B068B4">
      <w:pPr>
        <w:spacing w:line="288" w:lineRule="auto"/>
        <w:ind w:firstLine="480" w:firstLineChars="200"/>
        <w:jc w:val="both"/>
      </w:pPr>
      <w:r>
        <w:rPr>
          <w:rFonts w:hint="eastAsia" w:ascii="微软雅黑" w:hAnsi="微软雅黑" w:eastAsia="微软雅黑"/>
          <w:sz w:val="24"/>
        </w:rPr>
        <w:t>同时，我们深知系统操作的熟练程度对于提升工作效率的重要性，因此提供系统的操作培训和技术培训服务。培训内容涵盖基础操作、进阶功能应用以及系统维护保养等方面，旨在帮助用户全面掌握并灵活运用各类软硬件工具，提高工作效率，并培养自主解决问题的能力。</w:t>
      </w:r>
    </w:p>
    <w:p w14:paraId="18BF163F">
      <w:pPr>
        <w:pStyle w:val="4"/>
        <w:spacing w:line="288" w:lineRule="auto"/>
      </w:pPr>
      <w:r>
        <w:rPr>
          <w:rFonts w:hint="eastAsia" w:ascii="微软雅黑" w:hAnsi="微软雅黑" w:eastAsia="微软雅黑"/>
          <w:sz w:val="36"/>
        </w:rPr>
        <w:t>维修与保养服务流程</w:t>
      </w:r>
    </w:p>
    <w:p w14:paraId="4BF43A95">
      <w:pPr>
        <w:spacing w:line="288" w:lineRule="auto"/>
        <w:ind w:firstLine="480" w:firstLineChars="200"/>
        <w:jc w:val="both"/>
      </w:pPr>
      <w:r>
        <w:rPr>
          <w:rFonts w:hint="eastAsia" w:ascii="微软雅黑" w:hAnsi="微软雅黑" w:eastAsia="微软雅黑"/>
          <w:sz w:val="24"/>
        </w:rPr>
        <w:t>当用户的设备出现故障时，无需焦虑或迷茫，只需通过电话、邮件或在线平台等多种便捷方式，随时联系到我们的专业售后服务团队。我们的客户服务人员将在第一时间迅速响应，详细了解设备故障现象，并安排专业的技术人员进行现场维修服务。对于远程技术支持的需求，我们同样提供专业人员通过互联网远程诊断和解决问题，最大程度减少等待时间，提高维修效率。</w:t>
      </w:r>
    </w:p>
    <w:p w14:paraId="6230BCC7">
      <w:pPr>
        <w:spacing w:line="288" w:lineRule="auto"/>
        <w:ind w:firstLine="480" w:firstLineChars="200"/>
        <w:jc w:val="both"/>
      </w:pPr>
      <w:r>
        <w:rPr>
          <w:rFonts w:hint="eastAsia" w:ascii="微软雅黑" w:hAnsi="微软雅黑" w:eastAsia="微软雅黑"/>
          <w:sz w:val="24"/>
        </w:rPr>
        <w:t>为了确保设备的长期稳定运行及使用寿命，我们还提供定期保养服务。用户可根据自身情况选择合适的保养套餐，包括硬件检查、软件优化、数据备份恢复等项目，有效预防潜在故障的发生，保持系统的最佳性能状态。</w:t>
      </w:r>
    </w:p>
    <w:p w14:paraId="46F7C97D">
      <w:pPr>
        <w:spacing w:line="240" w:lineRule="auto"/>
      </w:pPr>
    </w:p>
    <w:tbl>
      <w:tblPr>
        <w:tblStyle w:val="11"/>
        <w:tblW w:w="11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00"/>
      </w:tblGrid>
      <w:tr w14:paraId="29BEA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vAlign w:val="center"/>
          </w:tcPr>
          <w:p w14:paraId="69A42DFF">
            <w:r>
              <w:drawing>
                <wp:inline distT="0" distB="0" distL="0" distR="0">
                  <wp:extent cx="6667500" cy="1892554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732145" cy="16271895"/>
                          </a:xfrm>
                          <a:prstGeom prst="rect">
                            <a:avLst/>
                          </a:prstGeom>
                        </pic:spPr>
                      </pic:pic>
                    </a:graphicData>
                  </a:graphic>
                </wp:inline>
              </w:drawing>
            </w:r>
          </w:p>
        </w:tc>
      </w:tr>
      <w:tr w14:paraId="172CB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vAlign w:val="center"/>
          </w:tcPr>
          <w:p w14:paraId="3F8C9543">
            <w:pPr>
              <w:jc w:val="center"/>
            </w:pPr>
            <w:r>
              <w:t>售后服务与支持流程</w:t>
            </w:r>
          </w:p>
        </w:tc>
      </w:tr>
    </w:tbl>
    <w:p w14:paraId="55208BAA">
      <w:pPr>
        <w:spacing w:line="240" w:lineRule="auto"/>
      </w:pPr>
    </w:p>
    <w:sectPr>
      <w:pgSz w:w="11895" w:h="16830"/>
      <w:pgMar w:top="1440" w:right="1800" w:bottom="1440" w:left="1800" w:header="855" w:footer="9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AMGDT"/>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AMGDT">
    <w:panose1 w:val="02000400000000000000"/>
    <w:charset w:val="00"/>
    <w:family w:val="auto"/>
    <w:pitch w:val="default"/>
    <w:sig w:usb0="80000003" w:usb1="1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440" w:hanging="440"/>
      </w:p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0053208E"/>
    <w:multiLevelType w:val="multilevel"/>
    <w:tmpl w:val="0053208E"/>
    <w:lvl w:ilvl="0" w:tentative="0">
      <w:start w:val="1"/>
      <w:numFmt w:val="decimal"/>
      <w:lvlText w:val="%1."/>
      <w:lvlJc w:val="left"/>
      <w:pPr>
        <w:ind w:left="440" w:hanging="440"/>
      </w:p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footnotePr>
    <w:footnote w:id="0"/>
    <w:footnote w:id="1"/>
  </w:footnotePr>
  <w:endnotePr>
    <w:endnote w:id="0"/>
    <w:endnote w:id="1"/>
  </w:endnotePr>
  <w:compat>
    <w:balanceSingleByteDoubleByteWidth/>
    <w:ulTrailSpace/>
    <w:doNotExpandShiftReturn/>
    <w:useFELayout/>
    <w:compatSetting w:name="compatibilityMode" w:uri="http://schemas.microsoft.com/office/word" w:val="16"/>
    <w:compatSetting w:name="overrideTableStyleFontSizeAndJustification" w:uri="http://schemas.microsoft.com/office/word" w:val="1"/>
  </w:compat>
  <w:rsids>
    <w:rsidRoot w:val="00000000"/>
    <w:rsid w:val="62ED3D34"/>
    <w:rsid w:val="6B340F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header"/>
    <w:basedOn w:val="1"/>
    <w:link w:val="16"/>
    <w:unhideWhenUsed/>
    <w:qFormat/>
    <w:uiPriority w:val="99"/>
    <w:pPr>
      <w:tabs>
        <w:tab w:val="center" w:pos="4680"/>
        <w:tab w:val="right" w:pos="9360"/>
      </w:tabs>
    </w:pPr>
  </w:style>
  <w:style w:type="paragraph" w:styleId="9">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0">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2">
    <w:name w:val="Table Grid"/>
    <w:basedOn w:val="11"/>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Emphasis"/>
    <w:basedOn w:val="13"/>
    <w:qFormat/>
    <w:uiPriority w:val="20"/>
    <w:rPr>
      <w:i/>
      <w:iCs/>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link w:val="8"/>
    <w:qFormat/>
    <w:uiPriority w:val="99"/>
  </w:style>
  <w:style w:type="character" w:customStyle="1" w:styleId="17">
    <w:name w:val="Heading 1 Char"/>
    <w:basedOn w:val="13"/>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8">
    <w:name w:val="Heading 2 Char"/>
    <w:basedOn w:val="13"/>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9">
    <w:name w:val="Heading 3 Char"/>
    <w:basedOn w:val="13"/>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0">
    <w:name w:val="Heading 4 Char"/>
    <w:basedOn w:val="13"/>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1">
    <w:name w:val="Subtitle Char"/>
    <w:basedOn w:val="13"/>
    <w:link w:val="9"/>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2">
    <w:name w:val="Title Char"/>
    <w:basedOn w:val="13"/>
    <w:link w:val="10"/>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5351</Words>
  <Characters>5408</Characters>
  <TotalTime>0</TotalTime>
  <ScaleCrop>false</ScaleCrop>
  <LinksUpToDate>false</LinksUpToDate>
  <CharactersWithSpaces>5410</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2025-03-12T14:24:25Z</dcterms:created>
  <dc:creator>。</dc:creator>
  <cp:lastModifiedBy>。</cp:lastModifiedBy>
  <dcterms:modified xsi:type="dcterms:W3CDTF">2025-03-12T14:24:53Z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eyJoZGlkIjoiNzA3YWI2MmQ2ZmU1NGZhOWE1MTQ2NzFjMmI0NTc2ODUiLCJ1c2VySWQiOiIxMTAwMTgzMTQzIn0=</vt:lpwstr>
  </property>
  <property fmtid="{D5CDD505-2E9C-101B-9397-08002B2CF9AE}" pid="3" name="KSOProductBuildVer">
    <vt:lpwstr>2052-12.1.0.20305</vt:lpwstr>
  </property>
  <property fmtid="{D5CDD505-2E9C-101B-9397-08002B2CF9AE}" pid="4" name="ICV">
    <vt:lpwstr>BE2C43893B1A4B4B93FAA932842129A5_13</vt:lpwstr>
  </property>
</Properties>
</file>