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2C3F6D">
      <w:pPr>
        <w:pStyle w:val="2"/>
        <w:spacing w:line="288" w:lineRule="auto"/>
        <w:jc w:val="center"/>
      </w:pPr>
      <w:r>
        <w:rPr>
          <w:rFonts w:hint="eastAsia" w:ascii="微软雅黑" w:hAnsi="微软雅黑" w:eastAsia="微软雅黑"/>
          <w:b/>
          <w:sz w:val="40"/>
        </w:rPr>
        <w:t>华北地区河北廊坊市三河市燕郊宿舍楼生态补偿方案</w:t>
      </w:r>
      <w:r>
        <w:drawing>
          <wp:inline distT="0" distB="0" distL="0" distR="0">
            <wp:extent cx="5524500" cy="3282950"/>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24500" cy="3282950"/>
                    </a:xfrm>
                    <a:prstGeom prst="rect">
                      <a:avLst/>
                    </a:prstGeom>
                  </pic:spPr>
                </pic:pic>
              </a:graphicData>
            </a:graphic>
          </wp:inline>
        </w:drawing>
      </w:r>
    </w:p>
    <w:p w14:paraId="5F01F307">
      <w:pPr>
        <w:spacing w:line="240" w:lineRule="auto"/>
      </w:pPr>
    </w:p>
    <w:p w14:paraId="685E2854">
      <w:pPr>
        <w:spacing w:line="288" w:lineRule="auto"/>
        <w:ind w:firstLine="480" w:firstLineChars="200"/>
        <w:jc w:val="both"/>
      </w:pPr>
      <w:r>
        <w:rPr>
          <w:rFonts w:hint="eastAsia" w:ascii="微软雅黑" w:hAnsi="微软雅黑" w:eastAsia="微软雅黑"/>
          <w:sz w:val="24"/>
        </w:rPr>
        <w:t>在华北地区快速城市化的背景下，河北廊坊市三河市燕郊镇的宿舍楼建设对当地生态环境产生了一定影响。为平衡经济发展与生态保护，一套科学合理的生态补偿方案显得尤为重要。该方案旨在通过一系列措施，修复因建设活动受损的自然生态系统，同时提升区域生态服务功能，确保宿舍楼建设与周边环境的和谐共生。方案不仅聚焦于补偿的具体实施，还深入考虑了补偿范围的精确界定、补偿对象的合理确定以及补偿资金的有效管理和监督，力求构建一个全面、可行的生态补偿机制，为类似地区的生态建设提供借鉴。</w:t>
      </w:r>
    </w:p>
    <w:p w14:paraId="0ABDE9B0">
      <w:pPr>
        <w:pStyle w:val="3"/>
        <w:spacing w:line="288" w:lineRule="auto"/>
      </w:pPr>
      <w:r>
        <w:rPr>
          <w:rFonts w:hint="eastAsia" w:ascii="微软雅黑" w:hAnsi="微软雅黑" w:eastAsia="微软雅黑"/>
          <w:b/>
          <w:sz w:val="36"/>
        </w:rPr>
        <w:t>生态补偿方案背景与目标</w:t>
      </w:r>
    </w:p>
    <w:p w14:paraId="3248F42E">
      <w:pPr>
        <w:spacing w:line="288" w:lineRule="auto"/>
        <w:ind w:firstLine="480" w:firstLineChars="200"/>
        <w:jc w:val="both"/>
      </w:pPr>
      <w:r>
        <w:rPr>
          <w:rFonts w:hint="eastAsia" w:ascii="微软雅黑" w:hAnsi="微软雅黑" w:eastAsia="微软雅黑"/>
          <w:sz w:val="24"/>
        </w:rPr>
        <w:t>近年来，燕郊地区的人口增长迅速，宿舍楼密集区域的环境压力日益突出。由于燕郊地区水资源的短缺，已经对当地的经济社会发展产生了一定的影响。同时，由于空气质量下降，居民的健康也受到了威胁。此外，由于绿地减少，城市的生态环境也受到了严重破坏，影响了居民的生活质量，也对区域的可持续发展构成了威胁。</w:t>
      </w:r>
    </w:p>
    <w:p w14:paraId="3F26E951">
      <w:pPr>
        <w:spacing w:line="288" w:lineRule="auto"/>
        <w:ind w:firstLine="480" w:firstLineChars="200"/>
        <w:jc w:val="both"/>
      </w:pPr>
      <w:r>
        <w:rPr>
          <w:rFonts w:hint="eastAsia" w:ascii="微软雅黑" w:hAnsi="微软雅黑" w:eastAsia="微软雅黑"/>
          <w:sz w:val="24"/>
        </w:rPr>
        <w:t>针对上述问题，本方案旨在通过生态补偿措施，激励和引导相关利益方积极参与生态保护与修复工作。通过实施生态补偿方案，希望能够在燕郊地区实现以下目标：</w:t>
      </w:r>
    </w:p>
    <w:p w14:paraId="433DF7E6">
      <w:pPr>
        <w:numPr>
          <w:ilvl w:val="0"/>
          <w:numId w:val="1"/>
        </w:numPr>
        <w:spacing w:line="240" w:lineRule="auto"/>
        <w:rPr>
          <w:color w:val="000000"/>
          <w:sz w:val="24"/>
        </w:rPr>
      </w:pPr>
      <w:r>
        <w:rPr>
          <w:rFonts w:hint="eastAsia" w:ascii="微软雅黑" w:hAnsi="微软雅黑" w:eastAsia="微软雅黑"/>
          <w:color w:val="000000"/>
          <w:sz w:val="24"/>
        </w:rPr>
        <w:t>增加水资源供应量：通过跨区域调水、雨水收集利用等手段，缓解当地水资源短缺问题，保障居民生活用水需求；</w:t>
      </w:r>
    </w:p>
    <w:p w14:paraId="0C227E67">
      <w:pPr>
        <w:numPr>
          <w:ilvl w:val="0"/>
          <w:numId w:val="1"/>
        </w:numPr>
        <w:spacing w:line="240" w:lineRule="auto"/>
        <w:rPr>
          <w:color w:val="000000"/>
          <w:sz w:val="24"/>
        </w:rPr>
      </w:pPr>
      <w:r>
        <w:rPr>
          <w:rFonts w:hint="eastAsia" w:ascii="微软雅黑" w:hAnsi="微软雅黑" w:eastAsia="微软雅黑"/>
          <w:color w:val="000000"/>
          <w:sz w:val="24"/>
        </w:rPr>
        <w:t>提高空气质量：通过加强污染源治理、推广清洁能源等措施，降低空气污染物排放，改善大气环境质量；</w:t>
      </w:r>
    </w:p>
    <w:p w14:paraId="4C881839">
      <w:pPr>
        <w:numPr>
          <w:ilvl w:val="0"/>
          <w:numId w:val="1"/>
        </w:numPr>
        <w:spacing w:line="240" w:lineRule="auto"/>
        <w:rPr>
          <w:color w:val="000000"/>
          <w:sz w:val="24"/>
        </w:rPr>
      </w:pPr>
      <w:r>
        <w:rPr>
          <w:rFonts w:hint="eastAsia" w:ascii="微软雅黑" w:hAnsi="微软雅黑" w:eastAsia="微软雅黑"/>
          <w:color w:val="000000"/>
          <w:sz w:val="24"/>
        </w:rPr>
        <w:t>增加城市绿地面积：通过植树造林、建设公园绿地等方式，提高城市绿化覆盖率，改善居民生活环境；</w:t>
      </w:r>
    </w:p>
    <w:p w14:paraId="73B9C4B3">
      <w:pPr>
        <w:numPr>
          <w:ilvl w:val="0"/>
          <w:numId w:val="1"/>
        </w:numPr>
        <w:spacing w:line="240" w:lineRule="auto"/>
        <w:rPr>
          <w:color w:val="000000"/>
          <w:sz w:val="24"/>
        </w:rPr>
      </w:pPr>
      <w:r>
        <w:rPr>
          <w:rFonts w:hint="eastAsia" w:ascii="微软雅黑" w:hAnsi="微软雅黑" w:eastAsia="微软雅黑"/>
          <w:color w:val="000000"/>
          <w:sz w:val="24"/>
        </w:rPr>
        <w:t>促进经济社会的和谐发展：通过生态补偿措施，引导相关利益方积极参与生态保护与修复工作，实现经济效益和生态效益的双赢。</w:t>
      </w:r>
    </w:p>
    <w:p w14:paraId="72211E3C">
      <w:pPr>
        <w:spacing w:line="240" w:lineRule="auto"/>
      </w:pPr>
      <w:bookmarkStart w:id="0" w:name="_GoBack"/>
      <w:r>
        <w:drawing>
          <wp:inline distT="0" distB="0" distL="0" distR="0">
            <wp:extent cx="5107940" cy="2488565"/>
            <wp:effectExtent l="0" t="0" r="698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107940" cy="2488565"/>
                    </a:xfrm>
                    <a:prstGeom prst="rect">
                      <a:avLst/>
                    </a:prstGeom>
                  </pic:spPr>
                </pic:pic>
              </a:graphicData>
            </a:graphic>
          </wp:inline>
        </w:drawing>
      </w:r>
      <w:bookmarkEnd w:id="0"/>
    </w:p>
    <w:p w14:paraId="495982CF">
      <w:pPr>
        <w:pStyle w:val="3"/>
        <w:spacing w:line="288" w:lineRule="auto"/>
      </w:pPr>
      <w:r>
        <w:rPr>
          <w:rFonts w:hint="eastAsia" w:ascii="微软雅黑" w:hAnsi="微软雅黑" w:eastAsia="微软雅黑"/>
          <w:b/>
          <w:sz w:val="36"/>
        </w:rPr>
        <w:t>生态补偿范围与对象</w:t>
      </w:r>
    </w:p>
    <w:p w14:paraId="0E663CCE">
      <w:pPr>
        <w:pStyle w:val="4"/>
        <w:spacing w:line="288" w:lineRule="auto"/>
      </w:pPr>
      <w:r>
        <w:rPr>
          <w:rFonts w:hint="eastAsia" w:ascii="微软雅黑" w:hAnsi="微软雅黑" w:eastAsia="微软雅黑"/>
          <w:sz w:val="36"/>
        </w:rPr>
        <w:t>补偿范围界定</w:t>
      </w:r>
    </w:p>
    <w:p w14:paraId="63671ADE">
      <w:pPr>
        <w:spacing w:line="288" w:lineRule="auto"/>
        <w:ind w:firstLine="480" w:firstLineChars="200"/>
        <w:jc w:val="both"/>
      </w:pPr>
      <w:r>
        <w:rPr>
          <w:rFonts w:hint="eastAsia" w:ascii="微软雅黑" w:hAnsi="微软雅黑" w:eastAsia="微软雅黑"/>
          <w:sz w:val="24"/>
        </w:rPr>
        <w:t>本方案所指的生态补偿范围主要涵盖了燕郊宿舍楼周边区域内那些因人类活动而尤其易受影响的生态环境敏感区域。这些区域包括但不限于水源保护区域，即那些对当地乃至更大范围水源安全至关重要的地区，如河流源头、地下水补给区等；空气质量敏感区域，即易受空气污染影响，需要采取严格保护措施的区域；绿地保护区，指的是为维护区域生态平衡，提供生态服务功能的重要绿地地带。</w:t>
      </w:r>
    </w:p>
    <w:p w14:paraId="799840AE">
      <w:pPr>
        <w:pStyle w:val="4"/>
        <w:spacing w:line="288" w:lineRule="auto"/>
      </w:pPr>
      <w:r>
        <w:rPr>
          <w:rFonts w:hint="eastAsia" w:ascii="微软雅黑" w:hAnsi="微软雅黑" w:eastAsia="微软雅黑"/>
          <w:sz w:val="36"/>
        </w:rPr>
        <w:t>补偿对象确定</w:t>
      </w:r>
    </w:p>
    <w:p w14:paraId="065A0238">
      <w:pPr>
        <w:spacing w:line="288" w:lineRule="auto"/>
        <w:ind w:firstLine="480" w:firstLineChars="200"/>
        <w:jc w:val="both"/>
      </w:pPr>
      <w:r>
        <w:rPr>
          <w:rFonts w:hint="eastAsia" w:ascii="微软雅黑" w:hAnsi="微软雅黑" w:eastAsia="微软雅黑"/>
          <w:sz w:val="24"/>
        </w:rPr>
        <w:t>补偿对象主要分为两大类别：一是直接参与生态保护与修复活动的个人、企业和社会组织。这类补偿对象的工作或业务活动直接对生态环境保护产生了积极效果，如湿地恢复、植树造林、污染治理等。他们的补偿方式主要以经济补偿为主，根据其项目实施成效、投入成本以及带来的生态效益综合评估，给予一定的资金奖励或政策优惠；二是因生态保护活动而利益受损的个人或群体。这类补偿对象由于生态保护措施的实施，导致其生产生活受到一定影响或经济损失，例如因严格的环境管制而无法继续进行某些生产活动，或者因保护区的设立而需要搬迁的居民等。对于这类对象，需要建立合理的利益补偿机制，确保他们的生活质量不因生态保护而降低，并尽可能通过转型发展、就业培训、生态旅游等方式实现可持续生计。</w:t>
      </w:r>
    </w:p>
    <w:p w14:paraId="2A8CBEA3">
      <w:pPr>
        <w:spacing w:line="288" w:lineRule="auto"/>
        <w:ind w:firstLineChars="200"/>
        <w:jc w:val="both"/>
      </w:pPr>
    </w:p>
    <w:p w14:paraId="1C3E314E">
      <w:pPr>
        <w:spacing w:line="288" w:lineRule="auto"/>
        <w:ind w:firstLine="480" w:firstLineChars="200"/>
        <w:jc w:val="both"/>
      </w:pPr>
      <w:r>
        <w:rPr>
          <w:rFonts w:hint="eastAsia" w:ascii="微软雅黑" w:hAnsi="微软雅黑" w:eastAsia="微软雅黑"/>
          <w:sz w:val="24"/>
        </w:rPr>
        <w:t>表格：生态补偿对象清单</w:t>
      </w:r>
    </w:p>
    <w:tbl>
      <w:tblPr>
        <w:tblStyle w:val="11"/>
        <w:tblW w:w="0" w:type="dxa"/>
        <w:tblInd w:w="0" w:type="dxa"/>
        <w:tblLayout w:type="autofit"/>
        <w:tblCellMar>
          <w:top w:w="0" w:type="dxa"/>
          <w:left w:w="108" w:type="dxa"/>
          <w:bottom w:w="0" w:type="dxa"/>
          <w:right w:w="108" w:type="dxa"/>
        </w:tblCellMar>
      </w:tblPr>
      <w:tblGrid>
        <w:gridCol w:w="1923"/>
        <w:gridCol w:w="1904"/>
        <w:gridCol w:w="2273"/>
        <w:gridCol w:w="2411"/>
      </w:tblGrid>
      <w:tr w14:paraId="6A8EFEBD">
        <w:tc>
          <w:tcPr>
            <w:tcW w:w="2700" w:type="dxa"/>
            <w:tcBorders>
              <w:top w:val="single" w:color="222222" w:sz="6" w:space="0"/>
              <w:left w:val="single" w:color="222222" w:sz="6" w:space="0"/>
              <w:bottom w:val="single" w:color="222222" w:sz="6" w:space="0"/>
              <w:right w:val="single" w:color="222222" w:sz="6" w:space="0"/>
            </w:tcBorders>
          </w:tcPr>
          <w:p w14:paraId="0A86830F">
            <w:pPr>
              <w:spacing w:line="288" w:lineRule="auto"/>
              <w:jc w:val="both"/>
            </w:pPr>
            <w:r>
              <w:rPr>
                <w:rFonts w:hint="eastAsia" w:ascii="微软雅黑" w:hAnsi="微软雅黑" w:eastAsia="微软雅黑"/>
                <w:sz w:val="24"/>
              </w:rPr>
              <w:t>补偿对象类别</w:t>
            </w:r>
          </w:p>
        </w:tc>
        <w:tc>
          <w:tcPr>
            <w:tcW w:w="2820" w:type="dxa"/>
            <w:tcBorders>
              <w:top w:val="single" w:color="222222" w:sz="6" w:space="0"/>
              <w:left w:val="single" w:color="222222" w:sz="6" w:space="0"/>
              <w:bottom w:val="single" w:color="222222" w:sz="6" w:space="0"/>
              <w:right w:val="single" w:color="222222" w:sz="6" w:space="0"/>
            </w:tcBorders>
          </w:tcPr>
          <w:p w14:paraId="5C5A591E">
            <w:pPr>
              <w:spacing w:line="288" w:lineRule="auto"/>
              <w:jc w:val="both"/>
            </w:pPr>
            <w:r>
              <w:rPr>
                <w:rFonts w:hint="eastAsia" w:ascii="微软雅黑" w:hAnsi="微软雅黑" w:eastAsia="微软雅黑"/>
                <w:sz w:val="24"/>
              </w:rPr>
              <w:t>描述</w:t>
            </w:r>
          </w:p>
        </w:tc>
        <w:tc>
          <w:tcPr>
            <w:tcW w:w="3270" w:type="dxa"/>
            <w:tcBorders>
              <w:top w:val="single" w:color="222222" w:sz="6" w:space="0"/>
              <w:left w:val="single" w:color="222222" w:sz="6" w:space="0"/>
              <w:bottom w:val="single" w:color="222222" w:sz="6" w:space="0"/>
              <w:right w:val="single" w:color="222222" w:sz="6" w:space="0"/>
            </w:tcBorders>
          </w:tcPr>
          <w:p w14:paraId="4A3CA2B6">
            <w:pPr>
              <w:spacing w:line="288" w:lineRule="auto"/>
              <w:jc w:val="both"/>
            </w:pPr>
            <w:r>
              <w:rPr>
                <w:rFonts w:hint="eastAsia" w:ascii="微软雅黑" w:hAnsi="微软雅黑" w:eastAsia="微软雅黑"/>
                <w:sz w:val="24"/>
              </w:rPr>
              <w:t>补偿方式</w:t>
            </w:r>
          </w:p>
        </w:tc>
        <w:tc>
          <w:tcPr>
            <w:tcW w:w="3495" w:type="dxa"/>
            <w:tcBorders>
              <w:top w:val="single" w:color="222222" w:sz="6" w:space="0"/>
              <w:left w:val="single" w:color="222222" w:sz="6" w:space="0"/>
              <w:bottom w:val="single" w:color="222222" w:sz="6" w:space="0"/>
              <w:right w:val="single" w:color="222222" w:sz="6" w:space="0"/>
            </w:tcBorders>
          </w:tcPr>
          <w:p w14:paraId="3718CF56">
            <w:pPr>
              <w:spacing w:line="288" w:lineRule="auto"/>
              <w:jc w:val="both"/>
            </w:pPr>
            <w:r>
              <w:rPr>
                <w:rFonts w:hint="eastAsia" w:ascii="微软雅黑" w:hAnsi="微软雅黑" w:eastAsia="微软雅黑"/>
                <w:sz w:val="24"/>
              </w:rPr>
              <w:t>示例</w:t>
            </w:r>
          </w:p>
        </w:tc>
      </w:tr>
      <w:tr w14:paraId="262E7B23">
        <w:tblPrEx>
          <w:tblCellMar>
            <w:top w:w="0" w:type="dxa"/>
            <w:left w:w="108" w:type="dxa"/>
            <w:bottom w:w="0" w:type="dxa"/>
            <w:right w:w="108" w:type="dxa"/>
          </w:tblCellMar>
        </w:tblPrEx>
        <w:tc>
          <w:tcPr>
            <w:tcW w:w="2700" w:type="dxa"/>
            <w:tcBorders>
              <w:top w:val="single" w:color="222222" w:sz="6" w:space="0"/>
              <w:left w:val="single" w:color="222222" w:sz="6" w:space="0"/>
              <w:bottom w:val="single" w:color="222222" w:sz="6" w:space="0"/>
              <w:right w:val="single" w:color="222222" w:sz="6" w:space="0"/>
            </w:tcBorders>
          </w:tcPr>
          <w:p w14:paraId="585CB991">
            <w:pPr>
              <w:spacing w:line="288" w:lineRule="auto"/>
              <w:jc w:val="both"/>
            </w:pPr>
            <w:r>
              <w:rPr>
                <w:rFonts w:hint="eastAsia" w:ascii="微软雅黑" w:hAnsi="微软雅黑" w:eastAsia="微软雅黑"/>
                <w:sz w:val="24"/>
              </w:rPr>
              <w:t>直接参与生态保护与修复的个人、企业和社会组织</w:t>
            </w:r>
          </w:p>
        </w:tc>
        <w:tc>
          <w:tcPr>
            <w:tcW w:w="2820" w:type="dxa"/>
            <w:tcBorders>
              <w:top w:val="single" w:color="222222" w:sz="6" w:space="0"/>
              <w:left w:val="single" w:color="222222" w:sz="6" w:space="0"/>
              <w:bottom w:val="single" w:color="222222" w:sz="6" w:space="0"/>
              <w:right w:val="single" w:color="222222" w:sz="6" w:space="0"/>
            </w:tcBorders>
          </w:tcPr>
          <w:p w14:paraId="08731026">
            <w:pPr>
              <w:spacing w:line="288" w:lineRule="auto"/>
              <w:jc w:val="both"/>
            </w:pPr>
            <w:r>
              <w:rPr>
                <w:rFonts w:hint="eastAsia" w:ascii="微软雅黑" w:hAnsi="微软雅黑" w:eastAsia="微软雅黑"/>
                <w:sz w:val="24"/>
              </w:rPr>
              <w:t>工作或业务活动直接对生态环境保护产生积极效果</w:t>
            </w:r>
          </w:p>
        </w:tc>
        <w:tc>
          <w:tcPr>
            <w:tcW w:w="3270" w:type="dxa"/>
            <w:tcBorders>
              <w:top w:val="single" w:color="222222" w:sz="6" w:space="0"/>
              <w:left w:val="single" w:color="222222" w:sz="6" w:space="0"/>
              <w:bottom w:val="single" w:color="222222" w:sz="6" w:space="0"/>
              <w:right w:val="single" w:color="222222" w:sz="6" w:space="0"/>
            </w:tcBorders>
          </w:tcPr>
          <w:p w14:paraId="7339A4E0">
            <w:pPr>
              <w:spacing w:line="288" w:lineRule="auto"/>
              <w:jc w:val="both"/>
            </w:pPr>
            <w:r>
              <w:rPr>
                <w:rFonts w:hint="eastAsia" w:ascii="微软雅黑" w:hAnsi="微软雅黑" w:eastAsia="微软雅黑"/>
                <w:sz w:val="24"/>
              </w:rPr>
              <w:t>经济补偿为主，综合评估项目实施成效、投入成本及生态效益</w:t>
            </w:r>
          </w:p>
        </w:tc>
        <w:tc>
          <w:tcPr>
            <w:tcW w:w="3495" w:type="dxa"/>
            <w:tcBorders>
              <w:top w:val="single" w:color="222222" w:sz="6" w:space="0"/>
              <w:left w:val="single" w:color="222222" w:sz="6" w:space="0"/>
              <w:bottom w:val="single" w:color="222222" w:sz="6" w:space="0"/>
              <w:right w:val="single" w:color="222222" w:sz="6" w:space="0"/>
            </w:tcBorders>
          </w:tcPr>
          <w:p w14:paraId="043E663B">
            <w:pPr>
              <w:spacing w:line="288" w:lineRule="auto"/>
              <w:jc w:val="both"/>
            </w:pPr>
            <w:r>
              <w:rPr>
                <w:rFonts w:hint="eastAsia" w:ascii="微软雅黑" w:hAnsi="微软雅黑" w:eastAsia="微软雅黑"/>
                <w:sz w:val="24"/>
              </w:rPr>
              <w:t>湿地恢复、植树造林、污染治理等</w:t>
            </w:r>
          </w:p>
        </w:tc>
      </w:tr>
      <w:tr w14:paraId="25F4D010">
        <w:tblPrEx>
          <w:tblCellMar>
            <w:top w:w="0" w:type="dxa"/>
            <w:left w:w="108" w:type="dxa"/>
            <w:bottom w:w="0" w:type="dxa"/>
            <w:right w:w="108" w:type="dxa"/>
          </w:tblCellMar>
        </w:tblPrEx>
        <w:tc>
          <w:tcPr>
            <w:tcW w:w="2700" w:type="dxa"/>
            <w:tcBorders>
              <w:top w:val="single" w:color="222222" w:sz="6" w:space="0"/>
              <w:left w:val="single" w:color="222222" w:sz="6" w:space="0"/>
              <w:bottom w:val="single" w:color="222222" w:sz="6" w:space="0"/>
              <w:right w:val="single" w:color="222222" w:sz="6" w:space="0"/>
            </w:tcBorders>
          </w:tcPr>
          <w:p w14:paraId="6ABEF27B">
            <w:pPr>
              <w:spacing w:line="288" w:lineRule="auto"/>
              <w:jc w:val="both"/>
            </w:pPr>
            <w:r>
              <w:rPr>
                <w:rFonts w:hint="eastAsia" w:ascii="微软雅黑" w:hAnsi="微软雅黑" w:eastAsia="微软雅黑"/>
                <w:sz w:val="24"/>
              </w:rPr>
              <w:t>因生态保护活动利益受损的个人或群体</w:t>
            </w:r>
          </w:p>
        </w:tc>
        <w:tc>
          <w:tcPr>
            <w:tcW w:w="2820" w:type="dxa"/>
            <w:tcBorders>
              <w:top w:val="single" w:color="222222" w:sz="6" w:space="0"/>
              <w:left w:val="single" w:color="222222" w:sz="6" w:space="0"/>
              <w:bottom w:val="single" w:color="222222" w:sz="6" w:space="0"/>
              <w:right w:val="single" w:color="222222" w:sz="6" w:space="0"/>
            </w:tcBorders>
          </w:tcPr>
          <w:p w14:paraId="09920EEB">
            <w:pPr>
              <w:spacing w:line="288" w:lineRule="auto"/>
              <w:jc w:val="both"/>
            </w:pPr>
            <w:r>
              <w:rPr>
                <w:rFonts w:hint="eastAsia" w:ascii="微软雅黑" w:hAnsi="微软雅黑" w:eastAsia="微软雅黑"/>
                <w:sz w:val="24"/>
              </w:rPr>
              <w:t>因生态保护措施实施导致生产生活受影响或经济损失</w:t>
            </w:r>
          </w:p>
        </w:tc>
        <w:tc>
          <w:tcPr>
            <w:tcW w:w="3270" w:type="dxa"/>
            <w:tcBorders>
              <w:top w:val="single" w:color="222222" w:sz="6" w:space="0"/>
              <w:left w:val="single" w:color="222222" w:sz="6" w:space="0"/>
              <w:bottom w:val="single" w:color="222222" w:sz="6" w:space="0"/>
              <w:right w:val="single" w:color="222222" w:sz="6" w:space="0"/>
            </w:tcBorders>
          </w:tcPr>
          <w:p w14:paraId="43DBB426">
            <w:pPr>
              <w:spacing w:line="288" w:lineRule="auto"/>
              <w:jc w:val="both"/>
            </w:pPr>
            <w:r>
              <w:rPr>
                <w:rFonts w:hint="eastAsia" w:ascii="微软雅黑" w:hAnsi="微软雅黑" w:eastAsia="微软雅黑"/>
                <w:sz w:val="24"/>
              </w:rPr>
              <w:t>建立合理的利益补偿机制，确保生活质量不因生态保护而降低</w:t>
            </w:r>
          </w:p>
        </w:tc>
        <w:tc>
          <w:tcPr>
            <w:tcW w:w="3495" w:type="dxa"/>
            <w:tcBorders>
              <w:top w:val="single" w:color="222222" w:sz="6" w:space="0"/>
              <w:left w:val="single" w:color="222222" w:sz="6" w:space="0"/>
              <w:bottom w:val="single" w:color="222222" w:sz="6" w:space="0"/>
              <w:right w:val="single" w:color="222222" w:sz="6" w:space="0"/>
            </w:tcBorders>
          </w:tcPr>
          <w:p w14:paraId="711FA2AA">
            <w:pPr>
              <w:spacing w:line="288" w:lineRule="auto"/>
              <w:jc w:val="both"/>
            </w:pPr>
            <w:r>
              <w:rPr>
                <w:rFonts w:hint="eastAsia" w:ascii="微软雅黑" w:hAnsi="微软雅黑" w:eastAsia="微软雅黑"/>
                <w:sz w:val="24"/>
              </w:rPr>
              <w:t>因环境管制无法继续生产活动的个人、因保护区设立需搬迁的居民</w:t>
            </w:r>
          </w:p>
        </w:tc>
      </w:tr>
    </w:tbl>
    <w:p w14:paraId="71826A2F">
      <w:pPr>
        <w:spacing w:line="288" w:lineRule="auto"/>
        <w:ind w:firstLineChars="200"/>
        <w:jc w:val="both"/>
      </w:pPr>
    </w:p>
    <w:p w14:paraId="1C334EA2">
      <w:pPr>
        <w:spacing w:line="288" w:lineRule="auto"/>
        <w:ind w:firstLineChars="200"/>
        <w:jc w:val="both"/>
      </w:pPr>
    </w:p>
    <w:p w14:paraId="020C9FB8">
      <w:pPr>
        <w:spacing w:line="288" w:lineRule="auto"/>
        <w:ind w:firstLine="480" w:firstLineChars="200"/>
        <w:jc w:val="both"/>
      </w:pPr>
      <w:r>
        <w:rPr>
          <w:rFonts w:hint="eastAsia" w:ascii="微软雅黑" w:hAnsi="微软雅黑" w:eastAsia="微软雅黑"/>
          <w:sz w:val="24"/>
        </w:rPr>
        <w:t>表格：生态补偿范围与对象细化</w:t>
      </w:r>
    </w:p>
    <w:tbl>
      <w:tblPr>
        <w:tblStyle w:val="11"/>
        <w:tblW w:w="0" w:type="dxa"/>
        <w:tblInd w:w="0" w:type="dxa"/>
        <w:tblLayout w:type="autofit"/>
        <w:tblCellMar>
          <w:top w:w="0" w:type="dxa"/>
          <w:left w:w="108" w:type="dxa"/>
          <w:bottom w:w="0" w:type="dxa"/>
          <w:right w:w="108" w:type="dxa"/>
        </w:tblCellMar>
      </w:tblPr>
      <w:tblGrid>
        <w:gridCol w:w="1122"/>
        <w:gridCol w:w="3421"/>
        <w:gridCol w:w="3968"/>
      </w:tblGrid>
      <w:tr w14:paraId="1AB7B311">
        <w:tblPrEx>
          <w:tblCellMar>
            <w:top w:w="0" w:type="dxa"/>
            <w:left w:w="108" w:type="dxa"/>
            <w:bottom w:w="0" w:type="dxa"/>
            <w:right w:w="108" w:type="dxa"/>
          </w:tblCellMar>
        </w:tblPrEx>
        <w:tc>
          <w:tcPr>
            <w:tcW w:w="1500" w:type="dxa"/>
            <w:tcBorders>
              <w:top w:val="single" w:color="222222" w:sz="6" w:space="0"/>
              <w:left w:val="single" w:color="222222" w:sz="6" w:space="0"/>
              <w:bottom w:val="single" w:color="222222" w:sz="6" w:space="0"/>
              <w:right w:val="single" w:color="222222" w:sz="6" w:space="0"/>
            </w:tcBorders>
          </w:tcPr>
          <w:p w14:paraId="0F4CDB9F">
            <w:pPr>
              <w:spacing w:line="288" w:lineRule="auto"/>
              <w:jc w:val="both"/>
            </w:pPr>
            <w:r>
              <w:rPr>
                <w:rFonts w:hint="eastAsia" w:ascii="微软雅黑" w:hAnsi="微软雅黑" w:eastAsia="微软雅黑"/>
                <w:sz w:val="24"/>
              </w:rPr>
              <w:t>生态补偿范围</w:t>
            </w:r>
          </w:p>
        </w:tc>
        <w:tc>
          <w:tcPr>
            <w:tcW w:w="4965" w:type="dxa"/>
            <w:tcBorders>
              <w:top w:val="single" w:color="222222" w:sz="6" w:space="0"/>
              <w:left w:val="single" w:color="222222" w:sz="6" w:space="0"/>
              <w:bottom w:val="single" w:color="222222" w:sz="6" w:space="0"/>
              <w:right w:val="single" w:color="222222" w:sz="6" w:space="0"/>
            </w:tcBorders>
          </w:tcPr>
          <w:p w14:paraId="132F5F4C">
            <w:pPr>
              <w:spacing w:line="288" w:lineRule="auto"/>
              <w:jc w:val="both"/>
            </w:pPr>
            <w:r>
              <w:rPr>
                <w:rFonts w:hint="eastAsia" w:ascii="微软雅黑" w:hAnsi="微软雅黑" w:eastAsia="微软雅黑"/>
                <w:sz w:val="24"/>
              </w:rPr>
              <w:t>具体描述</w:t>
            </w:r>
          </w:p>
        </w:tc>
        <w:tc>
          <w:tcPr>
            <w:tcW w:w="5820" w:type="dxa"/>
            <w:tcBorders>
              <w:top w:val="single" w:color="222222" w:sz="6" w:space="0"/>
              <w:left w:val="single" w:color="222222" w:sz="6" w:space="0"/>
              <w:bottom w:val="single" w:color="222222" w:sz="6" w:space="0"/>
              <w:right w:val="single" w:color="222222" w:sz="6" w:space="0"/>
            </w:tcBorders>
          </w:tcPr>
          <w:p w14:paraId="6CA8E1A7">
            <w:pPr>
              <w:spacing w:line="288" w:lineRule="auto"/>
              <w:jc w:val="both"/>
            </w:pPr>
            <w:r>
              <w:rPr>
                <w:rFonts w:hint="eastAsia" w:ascii="微软雅黑" w:hAnsi="微软雅黑" w:eastAsia="微软雅黑"/>
                <w:sz w:val="24"/>
              </w:rPr>
              <w:t>补偿对象关联</w:t>
            </w:r>
          </w:p>
        </w:tc>
      </w:tr>
      <w:tr w14:paraId="71F3BBCB">
        <w:tblPrEx>
          <w:tblCellMar>
            <w:top w:w="0" w:type="dxa"/>
            <w:left w:w="108" w:type="dxa"/>
            <w:bottom w:w="0" w:type="dxa"/>
            <w:right w:w="108" w:type="dxa"/>
          </w:tblCellMar>
        </w:tblPrEx>
        <w:tc>
          <w:tcPr>
            <w:tcW w:w="1500" w:type="dxa"/>
            <w:tcBorders>
              <w:top w:val="single" w:color="222222" w:sz="6" w:space="0"/>
              <w:left w:val="single" w:color="222222" w:sz="6" w:space="0"/>
              <w:bottom w:val="single" w:color="222222" w:sz="6" w:space="0"/>
              <w:right w:val="single" w:color="222222" w:sz="6" w:space="0"/>
            </w:tcBorders>
          </w:tcPr>
          <w:p w14:paraId="2F34132A">
            <w:pPr>
              <w:spacing w:line="288" w:lineRule="auto"/>
              <w:jc w:val="both"/>
            </w:pPr>
            <w:r>
              <w:rPr>
                <w:rFonts w:hint="eastAsia" w:ascii="微软雅黑" w:hAnsi="微软雅黑" w:eastAsia="微软雅黑"/>
                <w:sz w:val="24"/>
              </w:rPr>
              <w:t>水源保护区域</w:t>
            </w:r>
          </w:p>
        </w:tc>
        <w:tc>
          <w:tcPr>
            <w:tcW w:w="4965" w:type="dxa"/>
            <w:tcBorders>
              <w:top w:val="single" w:color="222222" w:sz="6" w:space="0"/>
              <w:left w:val="single" w:color="222222" w:sz="6" w:space="0"/>
              <w:bottom w:val="single" w:color="222222" w:sz="6" w:space="0"/>
              <w:right w:val="single" w:color="222222" w:sz="6" w:space="0"/>
            </w:tcBorders>
          </w:tcPr>
          <w:p w14:paraId="7A020DB5">
            <w:pPr>
              <w:spacing w:line="288" w:lineRule="auto"/>
              <w:jc w:val="both"/>
            </w:pPr>
            <w:r>
              <w:rPr>
                <w:rFonts w:hint="eastAsia" w:ascii="微软雅黑" w:hAnsi="微软雅黑" w:eastAsia="微软雅黑"/>
                <w:sz w:val="24"/>
              </w:rPr>
              <w:t>对当地乃至更大范围水源安全至关重要的地区，如河流源头、地下水补给区</w:t>
            </w:r>
          </w:p>
        </w:tc>
        <w:tc>
          <w:tcPr>
            <w:tcW w:w="5820" w:type="dxa"/>
            <w:tcBorders>
              <w:top w:val="single" w:color="222222" w:sz="6" w:space="0"/>
              <w:left w:val="single" w:color="222222" w:sz="6" w:space="0"/>
              <w:bottom w:val="single" w:color="222222" w:sz="6" w:space="0"/>
              <w:right w:val="single" w:color="222222" w:sz="6" w:space="0"/>
            </w:tcBorders>
          </w:tcPr>
          <w:p w14:paraId="4F5F781D">
            <w:pPr>
              <w:spacing w:line="288" w:lineRule="auto"/>
              <w:jc w:val="both"/>
            </w:pPr>
            <w:r>
              <w:rPr>
                <w:rFonts w:hint="eastAsia" w:ascii="微软雅黑" w:hAnsi="微软雅黑" w:eastAsia="微软雅黑"/>
                <w:sz w:val="24"/>
              </w:rPr>
              <w:t>直接参与水源保护的个人、企业和社会组织；因水源保护措施受损的个人或群体</w:t>
            </w:r>
          </w:p>
        </w:tc>
      </w:tr>
      <w:tr w14:paraId="4D254420">
        <w:tblPrEx>
          <w:tblCellMar>
            <w:top w:w="0" w:type="dxa"/>
            <w:left w:w="108" w:type="dxa"/>
            <w:bottom w:w="0" w:type="dxa"/>
            <w:right w:w="108" w:type="dxa"/>
          </w:tblCellMar>
        </w:tblPrEx>
        <w:tc>
          <w:tcPr>
            <w:tcW w:w="1500" w:type="dxa"/>
            <w:tcBorders>
              <w:top w:val="single" w:color="222222" w:sz="6" w:space="0"/>
              <w:left w:val="single" w:color="222222" w:sz="6" w:space="0"/>
              <w:bottom w:val="single" w:color="222222" w:sz="6" w:space="0"/>
              <w:right w:val="single" w:color="222222" w:sz="6" w:space="0"/>
            </w:tcBorders>
          </w:tcPr>
          <w:p w14:paraId="2ED54948">
            <w:pPr>
              <w:spacing w:line="288" w:lineRule="auto"/>
              <w:jc w:val="both"/>
            </w:pPr>
            <w:r>
              <w:rPr>
                <w:rFonts w:hint="eastAsia" w:ascii="微软雅黑" w:hAnsi="微软雅黑" w:eastAsia="微软雅黑"/>
                <w:sz w:val="24"/>
              </w:rPr>
              <w:t>空气质量敏感区域</w:t>
            </w:r>
          </w:p>
        </w:tc>
        <w:tc>
          <w:tcPr>
            <w:tcW w:w="4965" w:type="dxa"/>
            <w:tcBorders>
              <w:top w:val="single" w:color="222222" w:sz="6" w:space="0"/>
              <w:left w:val="single" w:color="222222" w:sz="6" w:space="0"/>
              <w:bottom w:val="single" w:color="222222" w:sz="6" w:space="0"/>
              <w:right w:val="single" w:color="222222" w:sz="6" w:space="0"/>
            </w:tcBorders>
          </w:tcPr>
          <w:p w14:paraId="761159BA">
            <w:pPr>
              <w:spacing w:line="288" w:lineRule="auto"/>
              <w:jc w:val="both"/>
            </w:pPr>
            <w:r>
              <w:rPr>
                <w:rFonts w:hint="eastAsia" w:ascii="微软雅黑" w:hAnsi="微软雅黑" w:eastAsia="微软雅黑"/>
                <w:sz w:val="24"/>
              </w:rPr>
              <w:t>易受空气污染影响，需要采取严格保护措施的区域</w:t>
            </w:r>
          </w:p>
        </w:tc>
        <w:tc>
          <w:tcPr>
            <w:tcW w:w="5820" w:type="dxa"/>
            <w:tcBorders>
              <w:top w:val="single" w:color="222222" w:sz="6" w:space="0"/>
              <w:left w:val="single" w:color="222222" w:sz="6" w:space="0"/>
              <w:bottom w:val="single" w:color="222222" w:sz="6" w:space="0"/>
              <w:right w:val="single" w:color="222222" w:sz="6" w:space="0"/>
            </w:tcBorders>
          </w:tcPr>
          <w:p w14:paraId="4F137F94">
            <w:pPr>
              <w:spacing w:line="288" w:lineRule="auto"/>
              <w:jc w:val="both"/>
            </w:pPr>
            <w:r>
              <w:rPr>
                <w:rFonts w:hint="eastAsia" w:ascii="微软雅黑" w:hAnsi="微软雅黑" w:eastAsia="微软雅黑"/>
                <w:sz w:val="24"/>
              </w:rPr>
              <w:t>参与空气质量改善活动的个人、企业和社会组织；因空气质量保护措施受损的个人或群体</w:t>
            </w:r>
          </w:p>
        </w:tc>
      </w:tr>
      <w:tr w14:paraId="3CDE60FF">
        <w:tblPrEx>
          <w:tblCellMar>
            <w:top w:w="0" w:type="dxa"/>
            <w:left w:w="108" w:type="dxa"/>
            <w:bottom w:w="0" w:type="dxa"/>
            <w:right w:w="108" w:type="dxa"/>
          </w:tblCellMar>
        </w:tblPrEx>
        <w:tc>
          <w:tcPr>
            <w:tcW w:w="1500" w:type="dxa"/>
            <w:tcBorders>
              <w:top w:val="single" w:color="222222" w:sz="6" w:space="0"/>
              <w:left w:val="single" w:color="222222" w:sz="6" w:space="0"/>
              <w:bottom w:val="single" w:color="222222" w:sz="6" w:space="0"/>
              <w:right w:val="single" w:color="222222" w:sz="6" w:space="0"/>
            </w:tcBorders>
          </w:tcPr>
          <w:p w14:paraId="1358947E">
            <w:pPr>
              <w:spacing w:line="288" w:lineRule="auto"/>
              <w:jc w:val="both"/>
            </w:pPr>
            <w:r>
              <w:rPr>
                <w:rFonts w:hint="eastAsia" w:ascii="微软雅黑" w:hAnsi="微软雅黑" w:eastAsia="微软雅黑"/>
                <w:sz w:val="24"/>
              </w:rPr>
              <w:t>绿地保护区</w:t>
            </w:r>
          </w:p>
        </w:tc>
        <w:tc>
          <w:tcPr>
            <w:tcW w:w="4965" w:type="dxa"/>
            <w:tcBorders>
              <w:top w:val="single" w:color="222222" w:sz="6" w:space="0"/>
              <w:left w:val="single" w:color="222222" w:sz="6" w:space="0"/>
              <w:bottom w:val="single" w:color="222222" w:sz="6" w:space="0"/>
              <w:right w:val="single" w:color="222222" w:sz="6" w:space="0"/>
            </w:tcBorders>
          </w:tcPr>
          <w:p w14:paraId="7352EAEA">
            <w:pPr>
              <w:spacing w:line="288" w:lineRule="auto"/>
              <w:jc w:val="both"/>
            </w:pPr>
            <w:r>
              <w:rPr>
                <w:rFonts w:hint="eastAsia" w:ascii="微软雅黑" w:hAnsi="微软雅黑" w:eastAsia="微软雅黑"/>
                <w:sz w:val="24"/>
              </w:rPr>
              <w:t>为维护区域生态平衡，提供生态服务功能的重要绿地地带</w:t>
            </w:r>
          </w:p>
        </w:tc>
        <w:tc>
          <w:tcPr>
            <w:tcW w:w="5820" w:type="dxa"/>
            <w:tcBorders>
              <w:top w:val="single" w:color="222222" w:sz="6" w:space="0"/>
              <w:left w:val="single" w:color="222222" w:sz="6" w:space="0"/>
              <w:bottom w:val="single" w:color="222222" w:sz="6" w:space="0"/>
              <w:right w:val="single" w:color="222222" w:sz="6" w:space="0"/>
            </w:tcBorders>
          </w:tcPr>
          <w:p w14:paraId="4AD38CE2">
            <w:pPr>
              <w:spacing w:line="288" w:lineRule="auto"/>
              <w:jc w:val="both"/>
            </w:pPr>
            <w:r>
              <w:rPr>
                <w:rFonts w:hint="eastAsia" w:ascii="微软雅黑" w:hAnsi="微软雅黑" w:eastAsia="微软雅黑"/>
                <w:sz w:val="24"/>
              </w:rPr>
              <w:t>参与绿地保护与修复的个人、企业和社会组织；因绿地保护措施受损的个人或群体</w:t>
            </w:r>
          </w:p>
        </w:tc>
      </w:tr>
    </w:tbl>
    <w:p w14:paraId="6795C32F">
      <w:pPr>
        <w:spacing w:line="288" w:lineRule="auto"/>
        <w:ind w:firstLineChars="200"/>
        <w:jc w:val="both"/>
      </w:pPr>
    </w:p>
    <w:p w14:paraId="2D6E4FBA">
      <w:pPr>
        <w:pStyle w:val="3"/>
        <w:spacing w:line="288" w:lineRule="auto"/>
      </w:pPr>
      <w:r>
        <w:rPr>
          <w:rFonts w:hint="eastAsia" w:ascii="微软雅黑" w:hAnsi="微软雅黑" w:eastAsia="微软雅黑"/>
          <w:b/>
          <w:sz w:val="36"/>
        </w:rPr>
        <w:t>生态补偿方式与标准</w:t>
      </w:r>
    </w:p>
    <w:p w14:paraId="2A470DCF">
      <w:pPr>
        <w:pStyle w:val="4"/>
        <w:spacing w:line="288" w:lineRule="auto"/>
      </w:pPr>
      <w:r>
        <w:rPr>
          <w:rFonts w:hint="eastAsia" w:ascii="微软雅黑" w:hAnsi="微软雅黑" w:eastAsia="微软雅黑"/>
          <w:sz w:val="36"/>
        </w:rPr>
        <w:t>补偿方式选择</w:t>
      </w:r>
    </w:p>
    <w:p w14:paraId="5D8DF819">
      <w:pPr>
        <w:spacing w:line="288" w:lineRule="auto"/>
        <w:ind w:firstLine="480" w:firstLineChars="200"/>
        <w:jc w:val="both"/>
      </w:pPr>
      <w:r>
        <w:rPr>
          <w:rFonts w:hint="eastAsia" w:ascii="微软雅黑" w:hAnsi="微软雅黑" w:eastAsia="微软雅黑"/>
          <w:sz w:val="24"/>
        </w:rPr>
        <w:t>结合燕郊地区的具体地理、经济和社会条件，本方案提出了一套综合性的生态补偿机制，旨在有效平衡生态保护与经济社会发展之间的关系。方案将采取多种补偿方式相结合的方式，包括但不限于资金补偿、政策补偿、实物补偿和技术补偿等。</w:t>
      </w:r>
    </w:p>
    <w:p w14:paraId="2B4EDE1A">
      <w:pPr>
        <w:spacing w:line="288" w:lineRule="auto"/>
        <w:ind w:firstLine="480" w:firstLineChars="200"/>
        <w:jc w:val="both"/>
      </w:pPr>
      <w:r>
        <w:rPr>
          <w:rFonts w:hint="eastAsia" w:ascii="微软雅黑" w:hAnsi="微软雅黑" w:eastAsia="微软雅黑"/>
          <w:sz w:val="24"/>
        </w:rPr>
        <w:t>资金补偿将被视为最直接且有力的补偿方式。它将直接用于支持生态保护项目的实施，如湿地恢复、植树造林等，同时也会考虑到因生态保护而遭受经济损失的群体，提供必要的生活补助，确保他们的生活水平不因生态保护而下降。</w:t>
      </w:r>
    </w:p>
    <w:p w14:paraId="57A5D9CC">
      <w:pPr>
        <w:spacing w:line="288" w:lineRule="auto"/>
        <w:ind w:firstLine="480" w:firstLineChars="200"/>
        <w:jc w:val="both"/>
      </w:pPr>
      <w:r>
        <w:rPr>
          <w:rFonts w:hint="eastAsia" w:ascii="微软雅黑" w:hAnsi="微软雅黑" w:eastAsia="微软雅黑"/>
          <w:sz w:val="24"/>
        </w:rPr>
        <w:t>政策补偿则是一种间接但同样有效的补偿手段。通过税收减免、行政审批优惠等措施，鼓励更多的企业和个人参与到生态保护中来。例如，对于采用环保生产方式的企业，可以给予一定的税收优惠，以激励其持续投入环保；对于新建的生态保护项目，可以优先审批并给予一定的政策扶持。</w:t>
      </w:r>
    </w:p>
    <w:p w14:paraId="78A82C45">
      <w:pPr>
        <w:spacing w:line="288" w:lineRule="auto"/>
        <w:ind w:firstLine="480" w:firstLineChars="200"/>
        <w:jc w:val="both"/>
      </w:pPr>
      <w:r>
        <w:rPr>
          <w:rFonts w:hint="eastAsia" w:ascii="微软雅黑" w:hAnsi="微软雅黑" w:eastAsia="微软雅黑"/>
          <w:sz w:val="24"/>
        </w:rPr>
        <w:t>实物补偿和技术补偿也是重要的补充。实物补偿主要提供必要的物资支持，如提供苗木、肥料等，帮助受损群体进行生产调整或生态恢复；技术补偿则提供专业的技术指导和培训，帮助受损群体提升环保意识和技能，实现可持续发展。</w:t>
      </w:r>
    </w:p>
    <w:p w14:paraId="39F89C5E">
      <w:pPr>
        <w:pStyle w:val="4"/>
        <w:spacing w:line="288" w:lineRule="auto"/>
      </w:pPr>
      <w:r>
        <w:rPr>
          <w:rFonts w:hint="eastAsia" w:ascii="微软雅黑" w:hAnsi="微软雅黑" w:eastAsia="微软雅黑"/>
          <w:sz w:val="36"/>
        </w:rPr>
        <w:t>补偿标准设定</w:t>
      </w:r>
    </w:p>
    <w:p w14:paraId="13F15B8C">
      <w:pPr>
        <w:spacing w:line="288" w:lineRule="auto"/>
        <w:ind w:firstLine="480" w:firstLineChars="200"/>
        <w:jc w:val="both"/>
      </w:pPr>
      <w:r>
        <w:rPr>
          <w:rFonts w:hint="eastAsia" w:ascii="微软雅黑" w:hAnsi="微软雅黑" w:eastAsia="微软雅黑"/>
          <w:sz w:val="24"/>
        </w:rPr>
        <w:t>在设定补偿标准时，我们将充分考虑生态保护的成本、受益者的支付能力以及受损者的损失程度等因素。通过科学评估和精准计算，制定出既公平又有效的补偿标准，确保生态保护的成本得到合理分担，同时避免对经济社会的发展造成过大负担。此外，考虑到经济社会的发展和生态保护需求的变化，本方案还将建立动态调整机制，根据实际情况适时调整和完善补偿标准。</w:t>
      </w:r>
    </w:p>
    <w:p w14:paraId="2E3417BB">
      <w:pPr>
        <w:spacing w:line="240" w:lineRule="auto"/>
      </w:pPr>
    </w:p>
    <w:tbl>
      <w:tblPr>
        <w:tblStyle w:val="11"/>
        <w:tblW w:w="11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00"/>
      </w:tblGrid>
      <w:tr w14:paraId="32EB8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vAlign w:val="center"/>
          </w:tcPr>
          <w:p w14:paraId="245C237D">
            <w:r>
              <w:drawing>
                <wp:inline distT="0" distB="0" distL="0" distR="0">
                  <wp:extent cx="6667500" cy="7391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732145" cy="6358181"/>
                          </a:xfrm>
                          <a:prstGeom prst="rect">
                            <a:avLst/>
                          </a:prstGeom>
                        </pic:spPr>
                      </pic:pic>
                    </a:graphicData>
                  </a:graphic>
                </wp:inline>
              </w:drawing>
            </w:r>
          </w:p>
        </w:tc>
      </w:tr>
      <w:tr w14:paraId="5A2AE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vAlign w:val="center"/>
          </w:tcPr>
          <w:p w14:paraId="28C61D05">
            <w:pPr>
              <w:jc w:val="center"/>
            </w:pPr>
            <w:r>
              <w:t>生态补偿标准设定流程</w:t>
            </w:r>
          </w:p>
        </w:tc>
      </w:tr>
    </w:tbl>
    <w:p w14:paraId="0D3578B8">
      <w:pPr>
        <w:spacing w:line="240" w:lineRule="auto"/>
      </w:pPr>
    </w:p>
    <w:p w14:paraId="6DAA0294">
      <w:pPr>
        <w:pStyle w:val="3"/>
        <w:spacing w:line="288" w:lineRule="auto"/>
      </w:pPr>
      <w:r>
        <w:rPr>
          <w:rFonts w:hint="eastAsia" w:ascii="微软雅黑" w:hAnsi="微软雅黑" w:eastAsia="微软雅黑"/>
          <w:b/>
          <w:sz w:val="36"/>
        </w:rPr>
        <w:t>生态补偿资金管理与监督</w:t>
      </w:r>
    </w:p>
    <w:p w14:paraId="45288E28">
      <w:pPr>
        <w:pStyle w:val="4"/>
        <w:spacing w:line="288" w:lineRule="auto"/>
      </w:pPr>
      <w:r>
        <w:rPr>
          <w:rFonts w:hint="eastAsia" w:ascii="微软雅黑" w:hAnsi="微软雅黑" w:eastAsia="微软雅黑"/>
          <w:sz w:val="36"/>
        </w:rPr>
        <w:t>资金管理机制</w:t>
      </w:r>
    </w:p>
    <w:p w14:paraId="4603B718">
      <w:pPr>
        <w:spacing w:line="288" w:lineRule="auto"/>
        <w:ind w:firstLine="480" w:firstLineChars="200"/>
        <w:jc w:val="both"/>
      </w:pPr>
      <w:r>
        <w:rPr>
          <w:rFonts w:hint="eastAsia" w:ascii="微软雅黑" w:hAnsi="微软雅黑" w:eastAsia="微软雅黑"/>
          <w:sz w:val="24"/>
        </w:rPr>
        <w:t>为有效保障生态补偿资金的安全性和有效性，本方案提出了一套完善的资金管理机制。首先，在基础架构层面，设立独立的生态补偿资金专用账户，该账户将作为资金的唯一入口和出口，确保资金流转的封闭性和可控性，杜绝挪用、占用等不当使用情况的发生。其次，建立严谨的资金审批程序和使用流程，从源头上对每一笔资金的流向和用途进行严格把关。所有涉及生态补偿的资金支出必须经过严格的申请、审核和批准程序，确保每一笔资金都用在刀刃上，服务于生态环境保护和修复的各项任务。再者，强化内部审计与评估机制，定期对生态补偿资金的使用效果进行全面审计和评估。这包括但不限于对项目的执行情况、资金使用的合规性以及预期目标的达成程度等进行全面核查，并根据审计结果及时调整优化资金管理和使用策略，发现并纠正存在的问题，确保资金的高效利用。</w:t>
      </w:r>
    </w:p>
    <w:p w14:paraId="1928FDE2">
      <w:pPr>
        <w:pStyle w:val="4"/>
        <w:spacing w:line="288" w:lineRule="auto"/>
      </w:pPr>
      <w:r>
        <w:rPr>
          <w:rFonts w:hint="eastAsia" w:ascii="微软雅黑" w:hAnsi="微软雅黑" w:eastAsia="微软雅黑"/>
          <w:sz w:val="36"/>
        </w:rPr>
        <w:t>资金使用监督</w:t>
      </w:r>
    </w:p>
    <w:p w14:paraId="3328910D">
      <w:pPr>
        <w:spacing w:line="288" w:lineRule="auto"/>
        <w:ind w:firstLine="480" w:firstLineChars="200"/>
        <w:jc w:val="both"/>
      </w:pPr>
      <w:r>
        <w:rPr>
          <w:rFonts w:hint="eastAsia" w:ascii="微软雅黑" w:hAnsi="微软雅黑" w:eastAsia="微软雅黑"/>
          <w:sz w:val="24"/>
        </w:rPr>
        <w:t>在强化资金使用监督方面，本方案提倡多元化、全方位的监督模式。首先，推行信息公开制度，通过官方渠道定期公布生态补偿资金的具体使用情况、对应项目进展以及预期效益分析，接受社会公众的监督。其次，鼓励社会各界参与监督，设立便捷有效的举报渠道，对任何涉及资金使用的违规行为进行快速响应和严肃处理，对举报属实者给予一定的奖励，以激发公众参与监督的积极性。此外，加强部门间的协调联动与信息共享，形成监督合力。各相关部门应密切配合，定期召开联席会议，共同研讨解决生态补偿资金管理中遇到的问题，并针对发现的问题共同制定整改措施和方案，确保生态补偿资金的安全、规范、有效使用。</w:t>
      </w:r>
    </w:p>
    <w:p w14:paraId="56493556">
      <w:pPr>
        <w:spacing w:line="240" w:lineRule="auto"/>
      </w:pPr>
    </w:p>
    <w:tbl>
      <w:tblPr>
        <w:tblStyle w:val="11"/>
        <w:tblW w:w="11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00"/>
      </w:tblGrid>
      <w:tr w14:paraId="299CF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vAlign w:val="center"/>
          </w:tcPr>
          <w:p w14:paraId="4830F096">
            <w:r>
              <w:drawing>
                <wp:inline distT="0" distB="0" distL="0" distR="0">
                  <wp:extent cx="6667500" cy="13192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732145" cy="11344134"/>
                          </a:xfrm>
                          <a:prstGeom prst="rect">
                            <a:avLst/>
                          </a:prstGeom>
                        </pic:spPr>
                      </pic:pic>
                    </a:graphicData>
                  </a:graphic>
                </wp:inline>
              </w:drawing>
            </w:r>
          </w:p>
        </w:tc>
      </w:tr>
      <w:tr w14:paraId="062E3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vAlign w:val="center"/>
          </w:tcPr>
          <w:p w14:paraId="4CE5618C">
            <w:pPr>
              <w:jc w:val="center"/>
            </w:pPr>
            <w:r>
              <w:t>生态补偿资金使用监督流程</w:t>
            </w:r>
          </w:p>
        </w:tc>
      </w:tr>
    </w:tbl>
    <w:p w14:paraId="27B87506">
      <w:pPr>
        <w:spacing w:line="240" w:lineRule="auto"/>
      </w:pPr>
    </w:p>
    <w:p w14:paraId="544710BA">
      <w:pPr>
        <w:pStyle w:val="3"/>
        <w:spacing w:line="288" w:lineRule="auto"/>
      </w:pPr>
      <w:r>
        <w:rPr>
          <w:rFonts w:hint="eastAsia" w:ascii="微软雅黑" w:hAnsi="微软雅黑" w:eastAsia="微软雅黑"/>
          <w:b/>
          <w:sz w:val="36"/>
        </w:rPr>
        <w:t>生态补偿实施步骤与时间表</w:t>
      </w:r>
    </w:p>
    <w:p w14:paraId="4F942844">
      <w:pPr>
        <w:pStyle w:val="4"/>
        <w:spacing w:line="288" w:lineRule="auto"/>
      </w:pPr>
      <w:r>
        <w:rPr>
          <w:rFonts w:hint="eastAsia" w:ascii="微软雅黑" w:hAnsi="微软雅黑" w:eastAsia="微软雅黑"/>
          <w:sz w:val="36"/>
        </w:rPr>
        <w:t>实施步骤规划</w:t>
      </w:r>
    </w:p>
    <w:p w14:paraId="06791193">
      <w:pPr>
        <w:spacing w:line="288" w:lineRule="auto"/>
        <w:ind w:firstLine="480" w:firstLineChars="200"/>
        <w:jc w:val="both"/>
      </w:pPr>
      <w:r>
        <w:rPr>
          <w:rFonts w:hint="eastAsia" w:ascii="微软雅黑" w:hAnsi="微软雅黑" w:eastAsia="微软雅黑"/>
          <w:sz w:val="24"/>
        </w:rPr>
        <w:t>本生态补偿方案的实施将分为三个阶段，分别是前期准备、中期执行和后期评估。在前期准备阶段，我们需要制定详细的实施方案，明确补偿的范围、标准、方式等，并开展广泛的宣传发动工作，让相关居民了解生态补偿的意义和目的，同时积极筹集所需的资金。在中期执行阶段，我们将重点推进生态保护项目的实施，如湿地恢复、植被种植等，并按照既定的标准发放补偿资金，确保补偿工作的公平、公正和透明。在后期评估阶段，我们将对生态补偿方案的实施效果进行全面的总结评估，分析存在的问题和不足，并提出相应的改进建议。</w:t>
      </w:r>
    </w:p>
    <w:p w14:paraId="65D28DD1">
      <w:pPr>
        <w:pStyle w:val="4"/>
        <w:spacing w:line="288" w:lineRule="auto"/>
      </w:pPr>
      <w:r>
        <w:rPr>
          <w:rFonts w:hint="eastAsia" w:ascii="微软雅黑" w:hAnsi="微软雅黑" w:eastAsia="微软雅黑"/>
          <w:sz w:val="36"/>
        </w:rPr>
        <w:t>时间表制定</w:t>
      </w:r>
    </w:p>
    <w:p w14:paraId="505F089A">
      <w:pPr>
        <w:spacing w:line="288" w:lineRule="auto"/>
        <w:ind w:firstLine="480" w:firstLineChars="200"/>
        <w:jc w:val="both"/>
      </w:pPr>
      <w:r>
        <w:rPr>
          <w:rFonts w:hint="eastAsia" w:ascii="微软雅黑" w:hAnsi="微软雅黑" w:eastAsia="微软雅黑"/>
          <w:sz w:val="24"/>
        </w:rPr>
        <w:t>为了确保生态补偿方案的顺利实施，我们将制定详细的时间表。该时间表将明确前期准备、中期执行和后期评估三个阶段的具体任务和时间节点。例如，在前期准备阶段，我们将完成方案制定和宣传发动工作；在中期执行阶段，我们将推进生态保护项目的实施并完成补偿资金的发放；在后期评估阶段，我们将对方案实施效果进行总结评估，并提出改进建议。同时，我们将根据实际情况对时间表进行动态调整，以应对可能出现的各种挑战和机遇。通过本生态补偿方案的实施，我们相信能够有效推动燕郊宿舍楼周边生态环境的改善，为区域的可持续发展奠定坚实基础。</w:t>
      </w:r>
    </w:p>
    <w:p w14:paraId="3983E4A8">
      <w:pPr>
        <w:spacing w:line="240" w:lineRule="auto"/>
      </w:pPr>
    </w:p>
    <w:tbl>
      <w:tblPr>
        <w:tblStyle w:val="11"/>
        <w:tblW w:w="11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00"/>
      </w:tblGrid>
      <w:tr w14:paraId="038B6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vAlign w:val="center"/>
          </w:tcPr>
          <w:p w14:paraId="10176536">
            <w:r>
              <w:drawing>
                <wp:inline distT="0" distB="0" distL="0" distR="0">
                  <wp:extent cx="6667500" cy="1847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732145" cy="1592597"/>
                          </a:xfrm>
                          <a:prstGeom prst="rect">
                            <a:avLst/>
                          </a:prstGeom>
                        </pic:spPr>
                      </pic:pic>
                    </a:graphicData>
                  </a:graphic>
                </wp:inline>
              </w:drawing>
            </w:r>
          </w:p>
        </w:tc>
      </w:tr>
      <w:tr w14:paraId="0D2A1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vAlign w:val="center"/>
          </w:tcPr>
          <w:p w14:paraId="11DE0A41">
            <w:pPr>
              <w:jc w:val="center"/>
            </w:pPr>
            <w:r>
              <w:t>生态补偿实施时间表</w:t>
            </w:r>
          </w:p>
        </w:tc>
      </w:tr>
    </w:tbl>
    <w:p w14:paraId="3313BA12">
      <w:pPr>
        <w:spacing w:line="240" w:lineRule="auto"/>
      </w:pPr>
    </w:p>
    <w:sectPr>
      <w:pgSz w:w="11895" w:h="16830"/>
      <w:pgMar w:top="1440" w:right="1800" w:bottom="1440" w:left="1800" w:header="855" w:footer="99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21">
    <w:altName w:val="AMGD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AMGDT">
    <w:panose1 w:val="02000400000000000000"/>
    <w:charset w:val="00"/>
    <w:family w:val="auto"/>
    <w:pitch w:val="default"/>
    <w:sig w:usb0="80000003"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440" w:hanging="440"/>
      </w:p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footnotePr>
    <w:footnote w:id="0"/>
    <w:footnote w:id="1"/>
  </w:footnotePr>
  <w:endnotePr>
    <w:endnote w:id="0"/>
    <w:endnote w:id="1"/>
  </w:endnotePr>
  <w:compat>
    <w:balanceSingleByteDoubleByteWidth/>
    <w:ulTrailSpace/>
    <w:doNotExpandShiftReturn/>
    <w:useFELayout/>
    <w:compatSetting w:name="compatibilityMode" w:uri="http://schemas.microsoft.com/office/word" w:val="16"/>
    <w:compatSetting w:name="overrideTableStyleFontSizeAndJustification" w:uri="http://schemas.microsoft.com/office/word" w:val="1"/>
  </w:compat>
  <w:rsids>
    <w:rsidRoot w:val="00000000"/>
    <w:rsid w:val="161C1594"/>
    <w:rsid w:val="187568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beforeLines="0" w:after="0" w:afterLines="0" w:line="240" w:lineRule="auto"/>
      <w:jc w:val="both"/>
    </w:pPr>
    <w:rPr>
      <w:rFonts w:ascii="Calibri" w:hAnsi="Calibri" w:eastAsia="等线" w:cs="21"/>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000000"/>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000000"/>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000000"/>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000000"/>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uiPriority w:val="99"/>
    <w:pPr>
      <w:ind w:left="720"/>
    </w:pPr>
  </w:style>
  <w:style w:type="paragraph" w:styleId="7">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8">
    <w:name w:val="header"/>
    <w:basedOn w:val="1"/>
    <w:link w:val="16"/>
    <w:unhideWhenUsed/>
    <w:uiPriority w:val="99"/>
    <w:pPr>
      <w:tabs>
        <w:tab w:val="center" w:pos="4680"/>
        <w:tab w:val="right" w:pos="9360"/>
      </w:tabs>
    </w:pPr>
  </w:style>
  <w:style w:type="paragraph" w:styleId="9">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0">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table" w:styleId="12">
    <w:name w:val="Table Grid"/>
    <w:basedOn w:val="11"/>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Emphasis"/>
    <w:basedOn w:val="13"/>
    <w:qFormat/>
    <w:uiPriority w:val="20"/>
    <w:rPr>
      <w:i/>
      <w:iCs/>
    </w:rPr>
  </w:style>
  <w:style w:type="character" w:styleId="15">
    <w:name w:val="Hyperlink"/>
    <w:basedOn w:val="13"/>
    <w:unhideWhenUsed/>
    <w:uiPriority w:val="99"/>
    <w:rPr>
      <w:color w:val="0000FF" w:themeColor="hyperlink"/>
      <w:u w:val="single"/>
      <w14:textFill>
        <w14:solidFill>
          <w14:schemeClr w14:val="hlink"/>
        </w14:solidFill>
      </w14:textFill>
    </w:rPr>
  </w:style>
  <w:style w:type="character" w:customStyle="1" w:styleId="16">
    <w:name w:val="Header Char"/>
    <w:basedOn w:val="13"/>
    <w:link w:val="8"/>
    <w:qFormat/>
    <w:uiPriority w:val="99"/>
  </w:style>
  <w:style w:type="character" w:customStyle="1" w:styleId="17">
    <w:name w:val="Heading 1 Char"/>
    <w:basedOn w:val="13"/>
    <w:link w:val="2"/>
    <w:uiPriority w:val="9"/>
    <w:rPr>
      <w:rFonts w:asciiTheme="majorHAnsi" w:hAnsiTheme="majorHAnsi" w:eastAsiaTheme="majorEastAsia" w:cstheme="majorBidi"/>
      <w:b/>
      <w:bCs/>
      <w:color w:val="376092" w:themeColor="accent1" w:themeShade="BF"/>
      <w:sz w:val="28"/>
      <w:szCs w:val="28"/>
    </w:rPr>
  </w:style>
  <w:style w:type="character" w:customStyle="1" w:styleId="18">
    <w:name w:val="Heading 2 Char"/>
    <w:basedOn w:val="13"/>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9">
    <w:name w:val="Heading 3 Char"/>
    <w:basedOn w:val="13"/>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0">
    <w:name w:val="Heading 4 Char"/>
    <w:basedOn w:val="13"/>
    <w:link w:val="5"/>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21">
    <w:name w:val="Subtitle Char"/>
    <w:basedOn w:val="13"/>
    <w:link w:val="9"/>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2">
    <w:name w:val="Title Char"/>
    <w:basedOn w:val="13"/>
    <w:link w:val="10"/>
    <w:uiPriority w:val="10"/>
    <w:rPr>
      <w:rFonts w:asciiTheme="majorHAnsi" w:hAnsiTheme="majorHAnsi" w:eastAsiaTheme="majorEastAsia" w:cstheme="majorBidi"/>
      <w:color w:val="17375E" w:themeColor="text2" w:themeShade="BF"/>
      <w:spacing w:val="5"/>
      <w:kern w:val="28"/>
      <w:sz w:val="52"/>
      <w:szCs w:val="5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2273</Words>
  <Characters>2273</Characters>
  <TotalTime>0</TotalTime>
  <ScaleCrop>false</ScaleCrop>
  <LinksUpToDate>false</LinksUpToDate>
  <CharactersWithSpaces>2273</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2025-03-14T10:48:57Z</dcterms:created>
  <dc:creator>。</dc:creator>
  <cp:lastModifiedBy>。</cp:lastModifiedBy>
  <dcterms:modified xsi:type="dcterms:W3CDTF">2025-03-14T10:49:31Z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eyJoZGlkIjoiNzA3YWI2MmQ2ZmU1NGZhOWE1MTQ2NzFjMmI0NTc2ODUiLCJ1c2VySWQiOiIxMTAwMTgzMTQzIn0=</vt:lpwstr>
  </property>
  <property fmtid="{D5CDD505-2E9C-101B-9397-08002B2CF9AE}" pid="3" name="KSOProductBuildVer">
    <vt:lpwstr>2052-12.1.0.20305</vt:lpwstr>
  </property>
  <property fmtid="{D5CDD505-2E9C-101B-9397-08002B2CF9AE}" pid="4" name="ICV">
    <vt:lpwstr>16D44060B8E3437185EFF7741BFBB4E3_13</vt:lpwstr>
  </property>
</Properties>
</file>