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0F5CC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345B548F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7644B3F2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住区热环境设计报告书</w:t>
      </w:r>
    </w:p>
    <w:p w14:paraId="6F6B7458">
      <w:pPr>
        <w:jc w:val="center"/>
        <w:rPr>
          <w:rFonts w:ascii="黑体" w:hAnsi="黑体" w:eastAsia="黑体"/>
          <w:sz w:val="36"/>
          <w:szCs w:val="36"/>
          <w:lang w:val="en-US"/>
        </w:rPr>
      </w:pPr>
      <w:r>
        <w:rPr>
          <w:rFonts w:hint="eastAsia" w:ascii="黑体" w:hAnsi="黑体" w:eastAsia="黑体"/>
          <w:sz w:val="36"/>
          <w:szCs w:val="36"/>
          <w:lang w:val="en-US"/>
        </w:rPr>
        <w:t>（规定</w:t>
      </w:r>
      <w:r>
        <w:rPr>
          <w:rFonts w:ascii="黑体" w:hAnsi="黑体" w:eastAsia="黑体"/>
          <w:sz w:val="36"/>
          <w:szCs w:val="36"/>
          <w:lang w:val="en-US"/>
        </w:rPr>
        <w:t>性设计</w:t>
      </w:r>
      <w:r>
        <w:rPr>
          <w:rFonts w:hint="eastAsia" w:ascii="黑体" w:hAnsi="黑体" w:eastAsia="黑体"/>
          <w:sz w:val="36"/>
          <w:szCs w:val="36"/>
          <w:lang w:val="en-US"/>
        </w:rPr>
        <w:t>）</w:t>
      </w:r>
    </w:p>
    <w:p w14:paraId="5A788C12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E18298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550F3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39476395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FBEAFEF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r>
              <w:rPr>
                <w:rFonts w:hint="eastAsia" w:ascii="宋体" w:hAnsi="宋体"/>
                <w:szCs w:val="21"/>
              </w:rPr>
              <w:t>绿筑“脉”动</w:t>
            </w:r>
            <w:bookmarkEnd w:id="0"/>
          </w:p>
        </w:tc>
      </w:tr>
      <w:tr w14:paraId="016123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AB6ED4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BAF7639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大连</w:t>
            </w:r>
            <w:bookmarkEnd w:id="1"/>
          </w:p>
        </w:tc>
      </w:tr>
      <w:tr w14:paraId="717433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135C0E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4CA6252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14:paraId="68901E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053E3D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2FEC542">
            <w:pPr>
              <w:rPr>
                <w:rFonts w:ascii="宋体" w:hAnsi="宋体"/>
                <w:szCs w:val="21"/>
              </w:rPr>
            </w:pPr>
            <w:bookmarkStart w:id="3" w:name="建设单位"/>
            <w:r>
              <w:t>大连大学</w:t>
            </w:r>
            <w:bookmarkEnd w:id="3"/>
          </w:p>
        </w:tc>
      </w:tr>
      <w:tr w14:paraId="298AF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0530FA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F9ABC9E">
            <w:pPr>
              <w:rPr>
                <w:rFonts w:ascii="宋体" w:hAnsi="宋体"/>
                <w:szCs w:val="21"/>
              </w:rPr>
            </w:pPr>
            <w:bookmarkStart w:id="4" w:name="设计单位"/>
            <w:r>
              <w:t>大连大学</w:t>
            </w:r>
            <w:bookmarkEnd w:id="4"/>
          </w:p>
        </w:tc>
      </w:tr>
      <w:tr w14:paraId="138F32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81DD8F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047581F">
            <w:pPr>
              <w:rPr>
                <w:rFonts w:ascii="宋体" w:hAnsi="宋体"/>
                <w:szCs w:val="21"/>
              </w:rPr>
            </w:pPr>
          </w:p>
        </w:tc>
      </w:tr>
      <w:tr w14:paraId="53B419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6C3A10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2A4B2D69">
            <w:pPr>
              <w:rPr>
                <w:rFonts w:ascii="宋体" w:hAnsi="宋体"/>
                <w:szCs w:val="21"/>
              </w:rPr>
            </w:pPr>
          </w:p>
        </w:tc>
      </w:tr>
      <w:tr w14:paraId="18AE85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488A9F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459EB321">
            <w:pPr>
              <w:rPr>
                <w:rFonts w:ascii="宋体" w:hAnsi="宋体"/>
                <w:szCs w:val="21"/>
              </w:rPr>
            </w:pPr>
          </w:p>
        </w:tc>
      </w:tr>
      <w:tr w14:paraId="707B8E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4031980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579074AE"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ascii="宋体" w:hAnsi="宋体"/>
                <w:szCs w:val="21"/>
              </w:rPr>
              <w:t>2024年11月28日</w:t>
            </w:r>
            <w:bookmarkEnd w:id="5"/>
          </w:p>
        </w:tc>
      </w:tr>
    </w:tbl>
    <w:p w14:paraId="01B6BD36">
      <w:pPr>
        <w:rPr>
          <w:rFonts w:ascii="宋体" w:hAnsi="宋体"/>
          <w:lang w:val="en-US"/>
        </w:rPr>
      </w:pPr>
    </w:p>
    <w:p w14:paraId="166F06F8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drawing>
          <wp:inline distT="0" distB="0" distL="0" distR="0">
            <wp:extent cx="1514475" cy="151447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ED57C">
      <w:pPr>
        <w:rPr>
          <w:rFonts w:ascii="宋体" w:hAnsi="宋体"/>
          <w:lang w:val="en-US"/>
        </w:rPr>
      </w:pPr>
    </w:p>
    <w:p w14:paraId="5B168C4E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46400E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6049B762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6DA2493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住区热环境TERA2024</w:t>
            </w:r>
            <w:bookmarkEnd w:id="7"/>
          </w:p>
        </w:tc>
      </w:tr>
      <w:tr w14:paraId="737689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771E888A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0F5370D5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20240430(SP1)</w:t>
            </w:r>
            <w:bookmarkEnd w:id="8"/>
          </w:p>
        </w:tc>
      </w:tr>
      <w:tr w14:paraId="61CCF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5CC31082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7580581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2A65ED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3845DDA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3B4781F1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T18234567392</w:t>
            </w:r>
            <w:bookmarkEnd w:id="9"/>
          </w:p>
        </w:tc>
      </w:tr>
    </w:tbl>
    <w:p w14:paraId="08C0BA57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7FBCF968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2CD2869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bookmarkStart w:id="10" w:name="目录"/>
      <w:bookmarkEnd w:id="10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_Toc18175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住区概况</w:t>
      </w:r>
      <w:r>
        <w:tab/>
      </w:r>
      <w:r>
        <w:fldChar w:fldCharType="begin"/>
      </w:r>
      <w:r>
        <w:instrText xml:space="preserve"> PAGEREF _Toc18175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46A5F4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_Toc7248 </w:instrText>
      </w:r>
      <w: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_Toc7248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484E27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_Toc24442 </w:instrText>
      </w:r>
      <w:r>
        <w:fldChar w:fldCharType="separate"/>
      </w:r>
      <w:r>
        <w:rPr>
          <w:rFonts w:hint="eastAsia"/>
        </w:rPr>
        <w:t>3 计算规定</w:t>
      </w:r>
      <w:r>
        <w:tab/>
      </w:r>
      <w:r>
        <w:fldChar w:fldCharType="begin"/>
      </w:r>
      <w:r>
        <w:instrText xml:space="preserve"> PAGEREF _Toc24442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90FB5D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_Toc20886 </w:instrText>
      </w:r>
      <w:r>
        <w:fldChar w:fldCharType="separate"/>
      </w:r>
      <w:r>
        <w:rPr>
          <w:rFonts w:hint="eastAsia"/>
          <w:lang w:val="en-GB"/>
        </w:rPr>
        <w:t xml:space="preserve">3.1 </w:t>
      </w:r>
      <w:r>
        <w:rPr>
          <w:rFonts w:hint="eastAsia"/>
        </w:rPr>
        <w:t>强制条文</w:t>
      </w:r>
      <w:r>
        <w:tab/>
      </w:r>
      <w:r>
        <w:fldChar w:fldCharType="begin"/>
      </w:r>
      <w:r>
        <w:instrText xml:space="preserve"> PAGEREF _Toc20886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B10C46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_Toc31139 </w:instrText>
      </w:r>
      <w:r>
        <w:fldChar w:fldCharType="separate"/>
      </w:r>
      <w:r>
        <w:rPr>
          <w:rFonts w:hint="eastAsia"/>
          <w:lang w:val="en-GB"/>
        </w:rPr>
        <w:t xml:space="preserve">3.2 </w:t>
      </w:r>
      <w:r>
        <w:rPr>
          <w:rFonts w:hint="eastAsia"/>
        </w:rPr>
        <w:t>规定性设计</w:t>
      </w:r>
      <w:r>
        <w:tab/>
      </w:r>
      <w:r>
        <w:fldChar w:fldCharType="begin"/>
      </w:r>
      <w:r>
        <w:instrText xml:space="preserve"> PAGEREF _Toc31139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956D61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_Toc13005 </w:instrText>
      </w:r>
      <w:r>
        <w:fldChar w:fldCharType="separate"/>
      </w:r>
      <w:r>
        <w:rPr>
          <w:rFonts w:hint="eastAsia"/>
        </w:rPr>
        <w:t>4 计算参数</w:t>
      </w:r>
      <w:r>
        <w:tab/>
      </w:r>
      <w:r>
        <w:fldChar w:fldCharType="begin"/>
      </w:r>
      <w:r>
        <w:instrText xml:space="preserve"> PAGEREF _Toc13005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154F6A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_Toc11794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典型气象日气象参数</w:t>
      </w:r>
      <w:r>
        <w:tab/>
      </w:r>
      <w:r>
        <w:fldChar w:fldCharType="begin"/>
      </w:r>
      <w:r>
        <w:instrText xml:space="preserve"> PAGEREF _Toc11794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62F177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_Toc22505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渗透面夏季逐时蒸发量</w:t>
      </w:r>
      <w:r>
        <w:tab/>
      </w:r>
      <w:r>
        <w:fldChar w:fldCharType="begin"/>
      </w:r>
      <w:r>
        <w:instrText xml:space="preserve"> PAGEREF _Toc22505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DB50DD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_Toc6050 </w:instrText>
      </w:r>
      <w:r>
        <w:fldChar w:fldCharType="separate"/>
      </w:r>
      <w:r>
        <w:rPr>
          <w:rFonts w:hint="eastAsia"/>
        </w:rPr>
        <w:t>5 住区指标概览</w:t>
      </w:r>
      <w:r>
        <w:tab/>
      </w:r>
      <w:r>
        <w:fldChar w:fldCharType="begin"/>
      </w:r>
      <w:r>
        <w:instrText xml:space="preserve"> PAGEREF _Toc6050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32D054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_Toc12335 </w:instrText>
      </w:r>
      <w:r>
        <w:fldChar w:fldCharType="separate"/>
      </w:r>
      <w:r>
        <w:rPr>
          <w:rFonts w:hint="eastAsia"/>
        </w:rPr>
        <w:t>6 强制性</w:t>
      </w:r>
      <w:r>
        <w:t>设计指标</w:t>
      </w:r>
      <w:r>
        <w:tab/>
      </w:r>
      <w:r>
        <w:fldChar w:fldCharType="begin"/>
      </w:r>
      <w:r>
        <w:instrText xml:space="preserve"> PAGEREF _Toc12335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AE7727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_Toc28943 </w:instrText>
      </w:r>
      <w:r>
        <w:fldChar w:fldCharType="separate"/>
      </w:r>
      <w:r>
        <w:rPr>
          <w:rFonts w:hint="eastAsia"/>
          <w:lang w:val="en-GB"/>
        </w:rPr>
        <w:t xml:space="preserve">6.1 </w:t>
      </w:r>
      <w:r>
        <w:rPr>
          <w:rFonts w:hint="eastAsia"/>
        </w:rPr>
        <w:t>平均迎风面积比</w:t>
      </w:r>
      <w:r>
        <w:tab/>
      </w:r>
      <w:r>
        <w:fldChar w:fldCharType="begin"/>
      </w:r>
      <w:r>
        <w:instrText xml:space="preserve"> PAGEREF _Toc28943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5221C1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_Toc6604 </w:instrText>
      </w:r>
      <w:r>
        <w:fldChar w:fldCharType="separate"/>
      </w:r>
      <w:r>
        <w:rPr>
          <w:rFonts w:hint="eastAsia"/>
          <w:lang w:val="en-GB"/>
        </w:rPr>
        <w:t xml:space="preserve">6.2 </w:t>
      </w:r>
      <w:r>
        <w:rPr>
          <w:rFonts w:hint="eastAsia"/>
        </w:rPr>
        <w:t>活动场地遮阳覆盖率</w:t>
      </w:r>
      <w:r>
        <w:tab/>
      </w:r>
      <w:r>
        <w:fldChar w:fldCharType="begin"/>
      </w:r>
      <w:r>
        <w:instrText xml:space="preserve"> PAGEREF _Toc6604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1C4D67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_Toc31914 </w:instrText>
      </w:r>
      <w:r>
        <w:fldChar w:fldCharType="separate"/>
      </w:r>
      <w:r>
        <w:rPr>
          <w:rFonts w:hint="eastAsia"/>
        </w:rPr>
        <w:t>7 规定性设计指标</w:t>
      </w:r>
      <w:r>
        <w:tab/>
      </w:r>
      <w:r>
        <w:fldChar w:fldCharType="begin"/>
      </w:r>
      <w:r>
        <w:instrText xml:space="preserve"> PAGEREF _Toc31914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3D8A60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_Toc7998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rPr>
          <w:rFonts w:hint="eastAsia"/>
        </w:rPr>
        <w:t>底层通风架空率</w:t>
      </w:r>
      <w:r>
        <w:tab/>
      </w:r>
      <w:r>
        <w:fldChar w:fldCharType="begin"/>
      </w:r>
      <w:r>
        <w:instrText xml:space="preserve"> PAGEREF _Toc7998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033FFF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_Toc28328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rPr>
          <w:rFonts w:hint="eastAsia"/>
        </w:rPr>
        <w:t>绿化遮阳体叶面积指数</w:t>
      </w:r>
      <w:r>
        <w:tab/>
      </w:r>
      <w:r>
        <w:fldChar w:fldCharType="begin"/>
      </w:r>
      <w:r>
        <w:instrText xml:space="preserve"> PAGEREF _Toc28328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444338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_Toc20716 </w:instrText>
      </w:r>
      <w:r>
        <w:fldChar w:fldCharType="separate"/>
      </w:r>
      <w:r>
        <w:rPr>
          <w:rFonts w:hint="eastAsia"/>
          <w:lang w:val="en-GB"/>
        </w:rPr>
        <w:t xml:space="preserve">7.3 </w:t>
      </w:r>
      <w:r>
        <w:rPr>
          <w:rFonts w:hint="eastAsia"/>
        </w:rPr>
        <w:t>渗透蒸发指标</w:t>
      </w:r>
      <w:r>
        <w:tab/>
      </w:r>
      <w:r>
        <w:fldChar w:fldCharType="begin"/>
      </w:r>
      <w:r>
        <w:instrText xml:space="preserve"> PAGEREF _Toc20716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98C366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_Toc5833 </w:instrText>
      </w:r>
      <w:r>
        <w:fldChar w:fldCharType="separate"/>
      </w:r>
      <w:r>
        <w:rPr>
          <w:rFonts w:hint="eastAsia"/>
          <w:lang w:val="en-GB"/>
        </w:rPr>
        <w:t xml:space="preserve">7.4 </w:t>
      </w:r>
      <w:r>
        <w:rPr>
          <w:rFonts w:hint="eastAsia"/>
        </w:rPr>
        <w:t>屋面绿化率</w:t>
      </w:r>
      <w:r>
        <w:tab/>
      </w:r>
      <w:r>
        <w:fldChar w:fldCharType="begin"/>
      </w:r>
      <w:r>
        <w:instrText xml:space="preserve"> PAGEREF _Toc5833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585FDAA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_Toc9379 </w:instrText>
      </w:r>
      <w:r>
        <w:fldChar w:fldCharType="separate"/>
      </w:r>
      <w:r>
        <w:rPr>
          <w:rFonts w:hint="eastAsia"/>
        </w:rPr>
        <w:t>8 结论</w:t>
      </w:r>
      <w:r>
        <w:tab/>
      </w:r>
      <w:r>
        <w:fldChar w:fldCharType="begin"/>
      </w:r>
      <w:r>
        <w:instrText xml:space="preserve"> PAGEREF _Toc9379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679BF498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5764A910">
      <w:pPr>
        <w:pStyle w:val="16"/>
      </w:pPr>
    </w:p>
    <w:p w14:paraId="2E5B21FD">
      <w:pPr>
        <w:pStyle w:val="2"/>
      </w:pPr>
      <w:bookmarkStart w:id="11" w:name="_Toc18175"/>
      <w:r>
        <w:rPr>
          <w:rFonts w:hint="eastAsia"/>
        </w:rPr>
        <w:t>住区概况</w:t>
      </w:r>
      <w:bookmarkEnd w:id="11"/>
    </w:p>
    <w:tbl>
      <w:tblPr>
        <w:tblStyle w:val="20"/>
        <w:tblpPr w:leftFromText="180" w:rightFromText="180" w:vertAnchor="text" w:horzAnchor="margin" w:tblpXSpec="center" w:tblpY="191"/>
        <w:tblW w:w="4885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3114"/>
        <w:gridCol w:w="3116"/>
      </w:tblGrid>
      <w:tr w14:paraId="50C881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tcBorders>
              <w:bottom w:val="single" w:color="auto" w:sz="8" w:space="0"/>
            </w:tcBorders>
            <w:shd w:val="clear" w:color="auto" w:fill="E6E6E6"/>
          </w:tcPr>
          <w:p w14:paraId="20C3B45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14:paraId="2F52F0F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1"/>
            <w:r>
              <w:rPr>
                <w:rFonts w:hint="eastAsia" w:ascii="宋体" w:hAnsi="宋体"/>
              </w:rPr>
              <w:t>绿筑“脉”动</w:t>
            </w:r>
            <w:bookmarkEnd w:id="12"/>
          </w:p>
        </w:tc>
      </w:tr>
      <w:tr w14:paraId="028084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tcBorders>
              <w:top w:val="single" w:color="auto" w:sz="8" w:space="0"/>
            </w:tcBorders>
            <w:shd w:val="clear" w:color="auto" w:fill="E6E6E6"/>
          </w:tcPr>
          <w:p w14:paraId="74A6636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14:paraId="36FAE51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大连</w:t>
            </w:r>
            <w:bookmarkEnd w:id="13"/>
          </w:p>
        </w:tc>
      </w:tr>
      <w:tr w14:paraId="2F053B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 w14:paraId="3EA81D8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3F0B278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t>38.92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3" w:type="dxa"/>
          </w:tcPr>
          <w:p w14:paraId="522BFD5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t>121.60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584CB3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 w14:paraId="76EBE74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14:paraId="32B92AC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气候区"/>
            <w:r>
              <w:t>IIA</w:t>
            </w:r>
            <w:bookmarkEnd w:id="16"/>
          </w:p>
        </w:tc>
      </w:tr>
      <w:tr w14:paraId="680BA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 w14:paraId="06512D7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14:paraId="03D29F0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主导风向"/>
            <w:r>
              <w:t>南</w:t>
            </w:r>
            <w:bookmarkEnd w:id="17"/>
          </w:p>
        </w:tc>
      </w:tr>
    </w:tbl>
    <w:p w14:paraId="429B5B6C">
      <w:pPr>
        <w:pStyle w:val="3"/>
        <w:ind w:firstLine="420"/>
        <w:rPr>
          <w:lang w:val="en-US"/>
        </w:rPr>
      </w:pPr>
    </w:p>
    <w:p w14:paraId="22F3A98A">
      <w:pPr>
        <w:pStyle w:val="3"/>
        <w:ind w:firstLine="420"/>
        <w:jc w:val="center"/>
        <w:rPr>
          <w:lang w:val="en-US"/>
        </w:rPr>
      </w:pPr>
      <w:bookmarkStart w:id="18" w:name="总图鸟瞰图"/>
      <w:bookmarkEnd w:id="18"/>
      <w:r>
        <w:drawing>
          <wp:inline distT="0" distB="0" distL="0" distR="0">
            <wp:extent cx="5667375" cy="365760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4B09F">
      <w:pPr>
        <w:pStyle w:val="3"/>
        <w:ind w:firstLine="420"/>
        <w:jc w:val="center"/>
        <w:rPr>
          <w:lang w:val="en-US"/>
        </w:rPr>
      </w:pPr>
      <w:bookmarkStart w:id="19" w:name="OLE_LINK3"/>
      <w:bookmarkStart w:id="20" w:name="OLE_LINK4"/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.1 场地鸟瞰图</w:t>
      </w:r>
      <w:bookmarkEnd w:id="19"/>
      <w:bookmarkEnd w:id="20"/>
    </w:p>
    <w:p w14:paraId="72AE21D3">
      <w:pPr>
        <w:pStyle w:val="3"/>
        <w:ind w:firstLine="420"/>
        <w:rPr>
          <w:lang w:val="en-US"/>
        </w:rPr>
      </w:pPr>
    </w:p>
    <w:p w14:paraId="354A28F4">
      <w:pPr>
        <w:pStyle w:val="3"/>
        <w:ind w:firstLine="420"/>
        <w:jc w:val="center"/>
        <w:rPr>
          <w:lang w:val="en-US"/>
        </w:rPr>
      </w:pPr>
      <w:bookmarkStart w:id="21" w:name="总图平面图"/>
      <w:bookmarkEnd w:id="21"/>
      <w:r>
        <w:drawing>
          <wp:inline distT="0" distB="0" distL="0" distR="0">
            <wp:extent cx="5667375" cy="365760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FF66F"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 xml:space="preserve"> 场地平面图</w:t>
      </w:r>
    </w:p>
    <w:p w14:paraId="65CF03B8">
      <w:pPr>
        <w:pStyle w:val="2"/>
      </w:pPr>
      <w:bookmarkStart w:id="22" w:name="_Toc7248"/>
      <w:bookmarkStart w:id="23" w:name="TitleFormat"/>
      <w:r>
        <w:rPr>
          <w:rFonts w:hint="eastAsia"/>
        </w:rPr>
        <w:t>设计依据</w:t>
      </w:r>
      <w:bookmarkEnd w:id="22"/>
    </w:p>
    <w:bookmarkEnd w:id="23"/>
    <w:p w14:paraId="03AD9BB1">
      <w:pPr>
        <w:widowControl w:val="0"/>
        <w:jc w:val="both"/>
        <w:rPr>
          <w:kern w:val="2"/>
          <w:szCs w:val="24"/>
          <w:lang w:val="en-US"/>
        </w:rPr>
      </w:pPr>
      <w:bookmarkStart w:id="24" w:name="计算依据"/>
      <w:bookmarkEnd w:id="24"/>
    </w:p>
    <w:p w14:paraId="134F4158">
      <w:pPr>
        <w:pStyle w:val="2"/>
      </w:pPr>
      <w:bookmarkStart w:id="25" w:name="_Toc24442"/>
      <w:r>
        <w:rPr>
          <w:rFonts w:hint="eastAsia"/>
        </w:rPr>
        <w:t>计算规定</w:t>
      </w:r>
      <w:bookmarkEnd w:id="25"/>
    </w:p>
    <w:p w14:paraId="4C65BC41">
      <w:pPr>
        <w:pStyle w:val="3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>
        <w:rPr>
          <w:rFonts w:hint="eastAsia" w:ascii="Arial" w:hAnsi="Arial" w:cs="Arial"/>
          <w:color w:val="333333"/>
          <w:shd w:val="clear" w:color="auto" w:fill="FFFFFF"/>
        </w:rPr>
        <w:t>热环境设计标准》的指标体系包括必须满足的强制性条文，在此基础上采用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14:paraId="2FD975E1">
      <w:pPr>
        <w:pStyle w:val="4"/>
      </w:pPr>
      <w:bookmarkStart w:id="26" w:name="_Toc20886"/>
      <w:r>
        <w:rPr>
          <w:rFonts w:hint="eastAsia"/>
        </w:rPr>
        <w:t>强制条文</w:t>
      </w:r>
      <w:bookmarkEnd w:id="26"/>
    </w:p>
    <w:p w14:paraId="01DF1594">
      <w:pPr>
        <w:pStyle w:val="3"/>
        <w:spacing w:line="360" w:lineRule="auto"/>
        <w:ind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</w:t>
      </w:r>
      <w:r>
        <w:rPr>
          <w:bCs/>
          <w:kern w:val="2"/>
          <w:sz w:val="24"/>
          <w:szCs w:val="24"/>
          <w:lang w:val="en-US"/>
        </w:rPr>
        <w:t>4</w:t>
      </w:r>
      <w:r>
        <w:rPr>
          <w:rFonts w:hint="eastAsia"/>
          <w:bCs/>
          <w:kern w:val="2"/>
          <w:sz w:val="24"/>
          <w:szCs w:val="24"/>
          <w:lang w:val="en-US"/>
        </w:rPr>
        <w:t>.1.1</w:t>
      </w:r>
      <w:r>
        <w:rPr>
          <w:bCs/>
          <w:kern w:val="2"/>
          <w:sz w:val="24"/>
          <w:szCs w:val="24"/>
          <w:lang w:val="en-US"/>
        </w:rPr>
        <w:t xml:space="preserve"> 居住区的夏季平均迎风面积比应符合表4．1．1的规定。</w:t>
      </w:r>
    </w:p>
    <w:p w14:paraId="29605DE0">
      <w:pPr>
        <w:pStyle w:val="18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表4．1．1 居住区的夏季平均迎风面积比（ζ</w:t>
      </w:r>
      <w:r>
        <w:rPr>
          <w:rStyle w:val="23"/>
          <w:rFonts w:ascii="Arial" w:hAnsi="Arial" w:cs="Arial"/>
          <w:color w:val="333333"/>
          <w:sz w:val="21"/>
          <w:szCs w:val="21"/>
          <w:vertAlign w:val="subscript"/>
        </w:rPr>
        <w:t>s</w:t>
      </w:r>
      <w:r>
        <w:rPr>
          <w:rStyle w:val="23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1"/>
        <w:gridCol w:w="2322"/>
        <w:gridCol w:w="2322"/>
      </w:tblGrid>
      <w:tr w14:paraId="7E1C7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 w14:paraId="77E88C55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14:paraId="454C53BB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322" w:type="dxa"/>
          </w:tcPr>
          <w:p w14:paraId="4E3D5007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III、V</w:t>
            </w:r>
          </w:p>
        </w:tc>
        <w:tc>
          <w:tcPr>
            <w:tcW w:w="2322" w:type="dxa"/>
          </w:tcPr>
          <w:p w14:paraId="28993FE0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IV</w:t>
            </w:r>
          </w:p>
        </w:tc>
      </w:tr>
      <w:tr w14:paraId="14B03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 w14:paraId="42E431E8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14:paraId="3AAA6C20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14:paraId="03D34622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14:paraId="1CE3C82C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0.70</w:t>
            </w:r>
          </w:p>
        </w:tc>
      </w:tr>
    </w:tbl>
    <w:p w14:paraId="214B2033">
      <w:pPr>
        <w:pStyle w:val="1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14:paraId="4DEC2423">
      <w:pPr>
        <w:pStyle w:val="18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>
        <w:rPr>
          <w:rFonts w:hint="eastAsia" w:ascii="Times New Roman" w:hAnsi="Times New Roman" w:cs="Times New Roman"/>
          <w:kern w:val="2"/>
          <w:sz w:val="21"/>
        </w:rPr>
        <w:t>（2）</w:t>
      </w:r>
      <w:r>
        <w:rPr>
          <w:rFonts w:ascii="Times New Roman" w:hAnsi="Times New Roman" w:cs="Times New Roman"/>
          <w:bCs/>
          <w:kern w:val="2"/>
        </w:rPr>
        <w:t>4</w:t>
      </w:r>
      <w:r>
        <w:rPr>
          <w:rFonts w:hint="eastAsia" w:ascii="Times New Roman" w:hAnsi="Times New Roman" w:cs="Times New Roman"/>
          <w:bCs/>
          <w:kern w:val="2"/>
        </w:rPr>
        <w:t>.2.1</w:t>
      </w:r>
      <w:r>
        <w:rPr>
          <w:rFonts w:ascii="Times New Roman" w:hAnsi="Times New Roman" w:cs="Times New Roman"/>
          <w:bCs/>
          <w:kern w:val="2"/>
        </w:rPr>
        <w:t>居住区夏季户外活动场地应有遮阳，遮阳覆盖率不应小于表4．2．1的规定。</w:t>
      </w:r>
    </w:p>
    <w:p w14:paraId="3EE0688D">
      <w:pPr>
        <w:pStyle w:val="18"/>
        <w:shd w:val="clear" w:color="auto" w:fill="FFFFFF"/>
        <w:spacing w:before="0" w:beforeAutospacing="0" w:after="0" w:afterAutospacing="0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表4．2．1 居住区活动场地的遮阳覆盖率限值(％)</w:t>
      </w:r>
    </w:p>
    <w:tbl>
      <w:tblPr>
        <w:tblStyle w:val="21"/>
        <w:tblW w:w="0" w:type="auto"/>
        <w:tblInd w:w="1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258"/>
        <w:gridCol w:w="2268"/>
      </w:tblGrid>
      <w:tr w14:paraId="4E700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restart"/>
          </w:tcPr>
          <w:p w14:paraId="0A88EB3B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场地</w:t>
            </w:r>
          </w:p>
        </w:tc>
        <w:tc>
          <w:tcPr>
            <w:tcW w:w="4526" w:type="dxa"/>
            <w:gridSpan w:val="2"/>
          </w:tcPr>
          <w:p w14:paraId="7416DA54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建筑气候区</w:t>
            </w:r>
          </w:p>
        </w:tc>
      </w:tr>
      <w:tr w14:paraId="35D3F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continue"/>
          </w:tcPr>
          <w:p w14:paraId="0AAC3622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14:paraId="2D4E8EE1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268" w:type="dxa"/>
          </w:tcPr>
          <w:p w14:paraId="3BA9A94F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III、IV、V</w:t>
            </w:r>
          </w:p>
        </w:tc>
      </w:tr>
      <w:tr w14:paraId="59497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 w14:paraId="313467C5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 w14:paraId="74A33F41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14:paraId="42D0F021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</w:tr>
      <w:tr w14:paraId="153FB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 w14:paraId="7FFD0064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 w14:paraId="44C1C0A2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6E871C2F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 w14:paraId="6866B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 w14:paraId="46C79A71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14:paraId="0B25C2F4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32F2A07B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 w14:paraId="35769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 w14:paraId="2972363E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14:paraId="64BF5E7D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14:paraId="669A15EF"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50</w:t>
            </w:r>
          </w:p>
        </w:tc>
      </w:tr>
    </w:tbl>
    <w:p w14:paraId="0FA7FD70">
      <w:pPr>
        <w:pStyle w:val="4"/>
      </w:pPr>
      <w:bookmarkStart w:id="27" w:name="_Toc31139"/>
      <w:r>
        <w:rPr>
          <w:rFonts w:hint="eastAsia"/>
        </w:rPr>
        <w:t>规定性设计</w:t>
      </w:r>
      <w:bookmarkEnd w:id="27"/>
    </w:p>
    <w:p w14:paraId="78B96247"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（1）4.1.4：在Ⅲ、Ⅳ、Ⅴ建筑气候区，当夏季主导风向上的建筑物迎风面宽度超过80m时，该建筑底层的通风架空率不应小于10％。</w:t>
      </w:r>
    </w:p>
    <w:p w14:paraId="6639F6FE"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（2）4.2.3：</w:t>
      </w:r>
      <w:r>
        <w:rPr>
          <w:rFonts w:ascii="Times New Roman" w:hAnsi="Times New Roman" w:cs="Times New Roman"/>
          <w:bCs/>
          <w:kern w:val="2"/>
        </w:rPr>
        <w:t>绿化遮阳体的叶面积指数不应小于3</w:t>
      </w:r>
      <w:r>
        <w:rPr>
          <w:rFonts w:hint="eastAsia" w:ascii="Times New Roman" w:hAnsi="Times New Roman" w:cs="Times New Roman"/>
          <w:bCs/>
          <w:kern w:val="2"/>
        </w:rPr>
        <w:t>.0</w:t>
      </w:r>
      <w:r>
        <w:rPr>
          <w:rFonts w:ascii="Times New Roman" w:hAnsi="Times New Roman" w:cs="Times New Roman"/>
          <w:bCs/>
          <w:kern w:val="2"/>
        </w:rPr>
        <w:t>。</w:t>
      </w:r>
    </w:p>
    <w:p w14:paraId="44E628E5"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（3）4.3.1：居住区户外活动场地和人行道路地面应有雨水渗透与蒸发能力，渗透与蒸发指标不应低于表4.3.1的规定。</w:t>
      </w:r>
    </w:p>
    <w:p w14:paraId="35E31222">
      <w:pPr>
        <w:pStyle w:val="18"/>
        <w:shd w:val="clear" w:color="auto" w:fill="FFFFFF"/>
        <w:spacing w:before="0" w:beforeAutospacing="0" w:after="0" w:afterAutospacing="0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</w:t>
      </w:r>
      <w:r>
        <w:rPr>
          <w:rStyle w:val="23"/>
          <w:rFonts w:hint="eastAsia" w:ascii="Arial" w:hAnsi="Arial" w:cs="Arial"/>
          <w:color w:val="333333"/>
          <w:sz w:val="21"/>
          <w:szCs w:val="21"/>
        </w:rPr>
        <w:t>3</w:t>
      </w:r>
      <w:r>
        <w:rPr>
          <w:rStyle w:val="23"/>
          <w:rFonts w:ascii="Arial" w:hAnsi="Arial" w:cs="Arial"/>
          <w:color w:val="333333"/>
          <w:sz w:val="21"/>
          <w:szCs w:val="21"/>
        </w:rPr>
        <w:t>．1 居住区</w:t>
      </w:r>
      <w:r>
        <w:rPr>
          <w:rStyle w:val="23"/>
          <w:rFonts w:hint="eastAsia" w:ascii="Arial" w:hAnsi="Arial" w:cs="Arial"/>
          <w:color w:val="333333"/>
          <w:sz w:val="21"/>
          <w:szCs w:val="21"/>
        </w:rPr>
        <w:t>地面渗透蒸发指标</w:t>
      </w:r>
    </w:p>
    <w:tbl>
      <w:tblPr>
        <w:tblStyle w:val="20"/>
        <w:tblW w:w="974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 w14:paraId="29114E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EEE17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3FD673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I、II、VI、VII气候区</w:t>
            </w:r>
          </w:p>
        </w:tc>
        <w:tc>
          <w:tcPr>
            <w:tcW w:w="44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94246A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III、IV、V气候区</w:t>
            </w:r>
          </w:p>
        </w:tc>
      </w:tr>
      <w:tr w14:paraId="2E82B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FAC7BB1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6357A3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EAEFFD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BFEE4A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2D51A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49209F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69C3C5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</w:tr>
      <w:tr w14:paraId="201BA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E41F33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40BF56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F2EA06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5BC0A8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AF1E6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C37DD9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hint="eastAsia" w:ascii="微软雅黑" w:hAnsi="微软雅黑" w:cs="Arial" w:eastAsiaTheme="minorEastAsia"/>
                <w:color w:val="000000" w:themeColor="text1"/>
                <w:kern w:val="2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D5A52E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 w14:paraId="6997D1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B2DDF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2664F7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7A406D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9A64B8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F11263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140174E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BEBF455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14:paraId="75EB0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10ED96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531091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6F26F1C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31968BA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9B060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98052CE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F9F37E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14:paraId="334F5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FBC9DD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652272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1ED0038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E39829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BAB8D7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62C38C1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AB138B5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14:paraId="269838BB"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（4）居住区内建筑屋面的绿化面积不应低于可绿化屋面面积的50％。</w:t>
      </w:r>
    </w:p>
    <w:p w14:paraId="792FE470">
      <w:pPr>
        <w:pStyle w:val="3"/>
        <w:ind w:firstLine="199" w:firstLineChars="95"/>
        <w:rPr>
          <w:lang w:val="en-US"/>
        </w:rPr>
      </w:pPr>
      <w:r>
        <w:rPr>
          <w:rFonts w:hint="eastAsia"/>
          <w:lang w:val="en-US"/>
        </w:rPr>
        <w:t>当以上4条有任意一条不能满足时候，需要进行评价性设计。</w:t>
      </w:r>
    </w:p>
    <w:p w14:paraId="3A65F3DC">
      <w:pPr>
        <w:pStyle w:val="2"/>
      </w:pPr>
      <w:bookmarkStart w:id="28" w:name="_Toc13005"/>
      <w:r>
        <w:rPr>
          <w:rFonts w:hint="eastAsia"/>
        </w:rPr>
        <w:t>计算参数</w:t>
      </w:r>
      <w:bookmarkEnd w:id="28"/>
    </w:p>
    <w:p w14:paraId="06EC3F38">
      <w:pPr>
        <w:pStyle w:val="4"/>
      </w:pPr>
      <w:bookmarkStart w:id="29" w:name="_Toc11794"/>
      <w:r>
        <w:rPr>
          <w:rFonts w:hint="eastAsia"/>
        </w:rPr>
        <w:t>典型气象日气象参数</w:t>
      </w:r>
      <w:bookmarkEnd w:id="29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341"/>
        <w:gridCol w:w="1341"/>
        <w:gridCol w:w="1341"/>
        <w:gridCol w:w="1341"/>
        <w:gridCol w:w="1341"/>
        <w:gridCol w:w="1341"/>
      </w:tblGrid>
      <w:tr w14:paraId="54589C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EDE8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时刻</w:t>
            </w:r>
          </w:p>
        </w:tc>
        <w:tc>
          <w:tcPr>
            <w:shd w:val="clear" w:color="auto" w:fill="E6E6E6"/>
            <w:vAlign w:val="center"/>
          </w:tcPr>
          <w:p w14:paraId="625E62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干球温度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(℃)</w:t>
            </w:r>
          </w:p>
        </w:tc>
        <w:tc>
          <w:tcPr>
            <w:shd w:val="clear" w:color="auto" w:fill="E6E6E6"/>
            <w:vAlign w:val="center"/>
          </w:tcPr>
          <w:p w14:paraId="7ADA2D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相对湿度(%)</w:t>
            </w:r>
          </w:p>
        </w:tc>
        <w:tc>
          <w:tcPr>
            <w:shd w:val="clear" w:color="auto" w:fill="E6E6E6"/>
            <w:vAlign w:val="center"/>
          </w:tcPr>
          <w:p w14:paraId="2C8BA4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水平总辐射照度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(W/㎡)</w:t>
            </w:r>
          </w:p>
        </w:tc>
        <w:tc>
          <w:tcPr>
            <w:shd w:val="clear" w:color="auto" w:fill="E6E6E6"/>
            <w:vAlign w:val="center"/>
          </w:tcPr>
          <w:p w14:paraId="438744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水平散射辐射照度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(W/㎡)</w:t>
            </w:r>
          </w:p>
        </w:tc>
        <w:tc>
          <w:tcPr>
            <w:shd w:val="clear" w:color="auto" w:fill="E6E6E6"/>
            <w:vAlign w:val="center"/>
          </w:tcPr>
          <w:p w14:paraId="36A755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风速(m/s)</w:t>
            </w:r>
          </w:p>
        </w:tc>
        <w:tc>
          <w:tcPr>
            <w:shd w:val="clear" w:color="auto" w:fill="E6E6E6"/>
            <w:vAlign w:val="center"/>
          </w:tcPr>
          <w:p w14:paraId="28523A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主导风向</w:t>
            </w:r>
          </w:p>
        </w:tc>
      </w:tr>
      <w:tr w14:paraId="4F7299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6E0C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623809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29.3</w:t>
            </w:r>
          </w:p>
        </w:tc>
        <w:tc>
          <w:tcPr>
            <w:vAlign w:val="center"/>
          </w:tcPr>
          <w:p w14:paraId="2AFA0F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</w:t>
            </w:r>
          </w:p>
        </w:tc>
        <w:tc>
          <w:tcPr>
            <w:vAlign w:val="center"/>
          </w:tcPr>
          <w:p w14:paraId="315638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34C4B3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54FDB6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3.7</w:t>
            </w:r>
          </w:p>
        </w:tc>
        <w:tc>
          <w:tcPr>
            <w:vMerge w:val="restart"/>
            <w:vAlign w:val="center"/>
          </w:tcPr>
          <w:p w14:paraId="5DAECC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南</w:t>
            </w:r>
          </w:p>
        </w:tc>
      </w:tr>
      <w:tr w14:paraId="493A67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1CA9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vAlign w:val="center"/>
          </w:tcPr>
          <w:p w14:paraId="096B58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</w:t>
            </w:r>
          </w:p>
        </w:tc>
        <w:tc>
          <w:tcPr>
            <w:vAlign w:val="center"/>
          </w:tcPr>
          <w:p w14:paraId="5026F1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</w:t>
            </w:r>
          </w:p>
        </w:tc>
        <w:tc>
          <w:tcPr>
            <w:vAlign w:val="center"/>
          </w:tcPr>
          <w:p w14:paraId="72102B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02D12A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68E249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4.0</w:t>
            </w:r>
          </w:p>
        </w:tc>
        <w:tc>
          <w:tcPr>
            <w:vMerge w:val="continue"/>
            <w:vAlign w:val="center"/>
          </w:tcPr>
          <w:p w14:paraId="45BDEB9D">
            <w:pPr>
              <w:jc w:val="center"/>
              <w:rPr>
                <w:sz w:val="21"/>
                <w:szCs w:val="21"/>
              </w:rPr>
            </w:pPr>
          </w:p>
        </w:tc>
      </w:tr>
      <w:tr w14:paraId="4059FF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3232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vAlign w:val="center"/>
          </w:tcPr>
          <w:p w14:paraId="6BCE0C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28.8</w:t>
            </w:r>
          </w:p>
        </w:tc>
        <w:tc>
          <w:tcPr>
            <w:vAlign w:val="center"/>
          </w:tcPr>
          <w:p w14:paraId="4B464B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</w:t>
            </w:r>
          </w:p>
        </w:tc>
        <w:tc>
          <w:tcPr>
            <w:vAlign w:val="center"/>
          </w:tcPr>
          <w:p w14:paraId="1BE0A6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47E023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2A76D1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3.7</w:t>
            </w:r>
          </w:p>
        </w:tc>
        <w:tc>
          <w:tcPr>
            <w:vMerge w:val="continue"/>
            <w:vAlign w:val="center"/>
          </w:tcPr>
          <w:p w14:paraId="5CD22BB5">
            <w:pPr>
              <w:jc w:val="center"/>
              <w:rPr>
                <w:sz w:val="21"/>
                <w:szCs w:val="21"/>
              </w:rPr>
            </w:pPr>
          </w:p>
        </w:tc>
      </w:tr>
      <w:tr w14:paraId="6C86F6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C37C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 w14:paraId="3D99D0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28.8</w:t>
            </w:r>
          </w:p>
        </w:tc>
        <w:tc>
          <w:tcPr>
            <w:vAlign w:val="center"/>
          </w:tcPr>
          <w:p w14:paraId="2832D2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</w:t>
            </w:r>
          </w:p>
        </w:tc>
        <w:tc>
          <w:tcPr>
            <w:vAlign w:val="center"/>
          </w:tcPr>
          <w:p w14:paraId="159D40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086A8F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76F95F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3.3</w:t>
            </w:r>
          </w:p>
        </w:tc>
        <w:tc>
          <w:tcPr>
            <w:vMerge w:val="continue"/>
            <w:vAlign w:val="center"/>
          </w:tcPr>
          <w:p w14:paraId="7A35B9DF">
            <w:pPr>
              <w:jc w:val="center"/>
              <w:rPr>
                <w:sz w:val="21"/>
                <w:szCs w:val="21"/>
              </w:rPr>
            </w:pPr>
          </w:p>
        </w:tc>
      </w:tr>
      <w:tr w14:paraId="43D4F5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C242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vAlign w:val="center"/>
          </w:tcPr>
          <w:p w14:paraId="3888CF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28.9</w:t>
            </w:r>
          </w:p>
        </w:tc>
        <w:tc>
          <w:tcPr>
            <w:vAlign w:val="center"/>
          </w:tcPr>
          <w:p w14:paraId="50C01F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</w:t>
            </w:r>
          </w:p>
        </w:tc>
        <w:tc>
          <w:tcPr>
            <w:vAlign w:val="center"/>
          </w:tcPr>
          <w:p w14:paraId="0650E4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1CABC2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545CF8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</w:t>
            </w:r>
          </w:p>
        </w:tc>
        <w:tc>
          <w:tcPr>
            <w:vMerge w:val="continue"/>
            <w:vAlign w:val="center"/>
          </w:tcPr>
          <w:p w14:paraId="21F6797C">
            <w:pPr>
              <w:jc w:val="center"/>
              <w:rPr>
                <w:sz w:val="21"/>
                <w:szCs w:val="21"/>
              </w:rPr>
            </w:pPr>
          </w:p>
        </w:tc>
      </w:tr>
      <w:tr w14:paraId="357919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68BE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vAlign w:val="center"/>
          </w:tcPr>
          <w:p w14:paraId="261BEC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29.2</w:t>
            </w:r>
          </w:p>
        </w:tc>
        <w:tc>
          <w:tcPr>
            <w:vAlign w:val="center"/>
          </w:tcPr>
          <w:p w14:paraId="72F070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</w:t>
            </w:r>
          </w:p>
        </w:tc>
        <w:tc>
          <w:tcPr>
            <w:vAlign w:val="center"/>
          </w:tcPr>
          <w:p w14:paraId="6DE519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19.44</w:t>
            </w:r>
          </w:p>
        </w:tc>
        <w:tc>
          <w:tcPr>
            <w:vAlign w:val="center"/>
          </w:tcPr>
          <w:p w14:paraId="6B2D70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19.44</w:t>
            </w:r>
          </w:p>
        </w:tc>
        <w:tc>
          <w:tcPr>
            <w:vAlign w:val="center"/>
          </w:tcPr>
          <w:p w14:paraId="188015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vMerge w:val="continue"/>
            <w:vAlign w:val="center"/>
          </w:tcPr>
          <w:p w14:paraId="627CC2D0">
            <w:pPr>
              <w:jc w:val="center"/>
              <w:rPr>
                <w:sz w:val="21"/>
                <w:szCs w:val="21"/>
              </w:rPr>
            </w:pPr>
          </w:p>
        </w:tc>
      </w:tr>
      <w:tr w14:paraId="0B899D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058B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3E7811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29.7</w:t>
            </w:r>
          </w:p>
        </w:tc>
        <w:tc>
          <w:tcPr>
            <w:vAlign w:val="center"/>
          </w:tcPr>
          <w:p w14:paraId="68A217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</w:t>
            </w:r>
          </w:p>
        </w:tc>
        <w:tc>
          <w:tcPr>
            <w:vAlign w:val="center"/>
          </w:tcPr>
          <w:p w14:paraId="71B3AF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105.56</w:t>
            </w:r>
          </w:p>
        </w:tc>
        <w:tc>
          <w:tcPr>
            <w:vAlign w:val="center"/>
          </w:tcPr>
          <w:p w14:paraId="3711F6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77.78</w:t>
            </w:r>
          </w:p>
        </w:tc>
        <w:tc>
          <w:tcPr>
            <w:vAlign w:val="center"/>
          </w:tcPr>
          <w:p w14:paraId="7C81AA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vMerge w:val="continue"/>
            <w:vAlign w:val="center"/>
          </w:tcPr>
          <w:p w14:paraId="6F105DDF">
            <w:pPr>
              <w:jc w:val="center"/>
              <w:rPr>
                <w:sz w:val="21"/>
                <w:szCs w:val="21"/>
              </w:rPr>
            </w:pPr>
          </w:p>
        </w:tc>
      </w:tr>
      <w:tr w14:paraId="2E2788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789E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vAlign w:val="center"/>
          </w:tcPr>
          <w:p w14:paraId="794A7E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30.4</w:t>
            </w:r>
          </w:p>
        </w:tc>
        <w:tc>
          <w:tcPr>
            <w:vAlign w:val="center"/>
          </w:tcPr>
          <w:p w14:paraId="380129E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</w:t>
            </w:r>
          </w:p>
        </w:tc>
        <w:tc>
          <w:tcPr>
            <w:vAlign w:val="center"/>
          </w:tcPr>
          <w:p w14:paraId="612522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211.11</w:t>
            </w:r>
          </w:p>
        </w:tc>
        <w:tc>
          <w:tcPr>
            <w:vAlign w:val="center"/>
          </w:tcPr>
          <w:p w14:paraId="1418FF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138.89</w:t>
            </w:r>
          </w:p>
        </w:tc>
        <w:tc>
          <w:tcPr>
            <w:vAlign w:val="center"/>
          </w:tcPr>
          <w:p w14:paraId="7C820C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</w:t>
            </w:r>
          </w:p>
        </w:tc>
        <w:tc>
          <w:tcPr>
            <w:vMerge w:val="continue"/>
            <w:vAlign w:val="center"/>
          </w:tcPr>
          <w:p w14:paraId="3F20D0FC">
            <w:pPr>
              <w:jc w:val="center"/>
              <w:rPr>
                <w:sz w:val="21"/>
                <w:szCs w:val="21"/>
              </w:rPr>
            </w:pPr>
          </w:p>
        </w:tc>
      </w:tr>
      <w:tr w14:paraId="37AAEE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ABE5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vAlign w:val="center"/>
          </w:tcPr>
          <w:p w14:paraId="14602B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31.3</w:t>
            </w:r>
          </w:p>
        </w:tc>
        <w:tc>
          <w:tcPr>
            <w:vAlign w:val="center"/>
          </w:tcPr>
          <w:p w14:paraId="5CDE29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</w:t>
            </w:r>
          </w:p>
        </w:tc>
        <w:tc>
          <w:tcPr>
            <w:vAlign w:val="center"/>
          </w:tcPr>
          <w:p w14:paraId="01349C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319.44</w:t>
            </w:r>
          </w:p>
        </w:tc>
        <w:tc>
          <w:tcPr>
            <w:vAlign w:val="center"/>
          </w:tcPr>
          <w:p w14:paraId="790D3F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191.67</w:t>
            </w:r>
          </w:p>
        </w:tc>
        <w:tc>
          <w:tcPr>
            <w:vAlign w:val="center"/>
          </w:tcPr>
          <w:p w14:paraId="703C69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</w:t>
            </w:r>
          </w:p>
        </w:tc>
        <w:tc>
          <w:tcPr>
            <w:vMerge w:val="continue"/>
            <w:vAlign w:val="center"/>
          </w:tcPr>
          <w:p w14:paraId="11ADDA20">
            <w:pPr>
              <w:jc w:val="center"/>
              <w:rPr>
                <w:sz w:val="21"/>
                <w:szCs w:val="21"/>
              </w:rPr>
            </w:pPr>
          </w:p>
        </w:tc>
      </w:tr>
      <w:tr w14:paraId="11D975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3BC9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vAlign w:val="center"/>
          </w:tcPr>
          <w:p w14:paraId="5E15F5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32.2</w:t>
            </w:r>
          </w:p>
        </w:tc>
        <w:tc>
          <w:tcPr>
            <w:vAlign w:val="center"/>
          </w:tcPr>
          <w:p w14:paraId="750381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vAlign w:val="center"/>
          </w:tcPr>
          <w:p w14:paraId="5CC403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425.00</w:t>
            </w:r>
          </w:p>
        </w:tc>
        <w:tc>
          <w:tcPr>
            <w:vAlign w:val="center"/>
          </w:tcPr>
          <w:p w14:paraId="596BA5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236.11</w:t>
            </w:r>
          </w:p>
        </w:tc>
        <w:tc>
          <w:tcPr>
            <w:vAlign w:val="center"/>
          </w:tcPr>
          <w:p w14:paraId="3DE480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</w:t>
            </w:r>
          </w:p>
        </w:tc>
        <w:tc>
          <w:tcPr>
            <w:vMerge w:val="continue"/>
            <w:vAlign w:val="center"/>
          </w:tcPr>
          <w:p w14:paraId="367B6859">
            <w:pPr>
              <w:jc w:val="center"/>
              <w:rPr>
                <w:sz w:val="21"/>
                <w:szCs w:val="21"/>
              </w:rPr>
            </w:pPr>
          </w:p>
        </w:tc>
      </w:tr>
      <w:tr w14:paraId="112DAB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40F6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vAlign w:val="center"/>
          </w:tcPr>
          <w:p w14:paraId="49FDEB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33.1</w:t>
            </w:r>
          </w:p>
        </w:tc>
        <w:tc>
          <w:tcPr>
            <w:vAlign w:val="center"/>
          </w:tcPr>
          <w:p w14:paraId="3D3681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</w:t>
            </w:r>
          </w:p>
        </w:tc>
        <w:tc>
          <w:tcPr>
            <w:vAlign w:val="center"/>
          </w:tcPr>
          <w:p w14:paraId="2790E3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508.33</w:t>
            </w:r>
          </w:p>
        </w:tc>
        <w:tc>
          <w:tcPr>
            <w:vAlign w:val="center"/>
          </w:tcPr>
          <w:p w14:paraId="73F76F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269.44</w:t>
            </w:r>
          </w:p>
        </w:tc>
        <w:tc>
          <w:tcPr>
            <w:vAlign w:val="center"/>
          </w:tcPr>
          <w:p w14:paraId="4CADE6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3.5</w:t>
            </w:r>
          </w:p>
        </w:tc>
        <w:tc>
          <w:tcPr>
            <w:vMerge w:val="continue"/>
            <w:vAlign w:val="center"/>
          </w:tcPr>
          <w:p w14:paraId="7B8AE6CE">
            <w:pPr>
              <w:jc w:val="center"/>
              <w:rPr>
                <w:sz w:val="21"/>
                <w:szCs w:val="21"/>
              </w:rPr>
            </w:pPr>
          </w:p>
        </w:tc>
      </w:tr>
      <w:tr w14:paraId="74C2C3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B70C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vAlign w:val="center"/>
          </w:tcPr>
          <w:p w14:paraId="31C88C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33.9</w:t>
            </w:r>
          </w:p>
        </w:tc>
        <w:tc>
          <w:tcPr>
            <w:vAlign w:val="center"/>
          </w:tcPr>
          <w:p w14:paraId="0A06AE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</w:t>
            </w:r>
          </w:p>
        </w:tc>
        <w:tc>
          <w:tcPr>
            <w:vAlign w:val="center"/>
          </w:tcPr>
          <w:p w14:paraId="68DCF7F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561.11</w:t>
            </w:r>
          </w:p>
        </w:tc>
        <w:tc>
          <w:tcPr>
            <w:vAlign w:val="center"/>
          </w:tcPr>
          <w:p w14:paraId="038779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288.89</w:t>
            </w:r>
          </w:p>
        </w:tc>
        <w:tc>
          <w:tcPr>
            <w:vAlign w:val="center"/>
          </w:tcPr>
          <w:p w14:paraId="203777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4.0</w:t>
            </w:r>
          </w:p>
        </w:tc>
        <w:tc>
          <w:tcPr>
            <w:vMerge w:val="continue"/>
            <w:vAlign w:val="center"/>
          </w:tcPr>
          <w:p w14:paraId="65875562">
            <w:pPr>
              <w:jc w:val="center"/>
              <w:rPr>
                <w:sz w:val="21"/>
                <w:szCs w:val="21"/>
              </w:rPr>
            </w:pPr>
          </w:p>
        </w:tc>
      </w:tr>
      <w:tr w14:paraId="1F0BF0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E78F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vAlign w:val="center"/>
          </w:tcPr>
          <w:p w14:paraId="231351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34.5</w:t>
            </w:r>
          </w:p>
        </w:tc>
        <w:tc>
          <w:tcPr>
            <w:vAlign w:val="center"/>
          </w:tcPr>
          <w:p w14:paraId="17797E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</w:t>
            </w:r>
          </w:p>
        </w:tc>
        <w:tc>
          <w:tcPr>
            <w:vAlign w:val="center"/>
          </w:tcPr>
          <w:p w14:paraId="64EEA1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575.00</w:t>
            </w:r>
          </w:p>
        </w:tc>
        <w:tc>
          <w:tcPr>
            <w:vAlign w:val="center"/>
          </w:tcPr>
          <w:p w14:paraId="36D52C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294.44</w:t>
            </w:r>
          </w:p>
        </w:tc>
        <w:tc>
          <w:tcPr>
            <w:vAlign w:val="center"/>
          </w:tcPr>
          <w:p w14:paraId="574586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</w:t>
            </w:r>
          </w:p>
        </w:tc>
        <w:tc>
          <w:tcPr>
            <w:vMerge w:val="continue"/>
            <w:vAlign w:val="center"/>
          </w:tcPr>
          <w:p w14:paraId="321DE39F">
            <w:pPr>
              <w:jc w:val="center"/>
              <w:rPr>
                <w:sz w:val="21"/>
                <w:szCs w:val="21"/>
              </w:rPr>
            </w:pPr>
          </w:p>
        </w:tc>
      </w:tr>
      <w:tr w14:paraId="705D5D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7686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vAlign w:val="center"/>
          </w:tcPr>
          <w:p w14:paraId="68DCD4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34.8</w:t>
            </w:r>
          </w:p>
        </w:tc>
        <w:tc>
          <w:tcPr>
            <w:vAlign w:val="center"/>
          </w:tcPr>
          <w:p w14:paraId="2AA401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</w:t>
            </w:r>
          </w:p>
        </w:tc>
        <w:tc>
          <w:tcPr>
            <w:vAlign w:val="center"/>
          </w:tcPr>
          <w:p w14:paraId="0EDA81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547.22</w:t>
            </w:r>
          </w:p>
        </w:tc>
        <w:tc>
          <w:tcPr>
            <w:vAlign w:val="center"/>
          </w:tcPr>
          <w:p w14:paraId="1E73F9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286.11</w:t>
            </w:r>
          </w:p>
        </w:tc>
        <w:tc>
          <w:tcPr>
            <w:vAlign w:val="center"/>
          </w:tcPr>
          <w:p w14:paraId="658ECC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5.0</w:t>
            </w:r>
          </w:p>
        </w:tc>
        <w:tc>
          <w:tcPr>
            <w:vMerge w:val="continue"/>
            <w:vAlign w:val="center"/>
          </w:tcPr>
          <w:p w14:paraId="5560C7AF">
            <w:pPr>
              <w:jc w:val="center"/>
              <w:rPr>
                <w:sz w:val="21"/>
                <w:szCs w:val="21"/>
              </w:rPr>
            </w:pPr>
          </w:p>
        </w:tc>
      </w:tr>
      <w:tr w14:paraId="3F0317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DF03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vAlign w:val="center"/>
          </w:tcPr>
          <w:p w14:paraId="57B028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34.7</w:t>
            </w:r>
          </w:p>
        </w:tc>
        <w:tc>
          <w:tcPr>
            <w:vAlign w:val="center"/>
          </w:tcPr>
          <w:p w14:paraId="29A2EA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</w:t>
            </w:r>
          </w:p>
        </w:tc>
        <w:tc>
          <w:tcPr>
            <w:vAlign w:val="center"/>
          </w:tcPr>
          <w:p w14:paraId="5809ED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480.56</w:t>
            </w:r>
          </w:p>
        </w:tc>
        <w:tc>
          <w:tcPr>
            <w:vAlign w:val="center"/>
          </w:tcPr>
          <w:p w14:paraId="43EDDD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258.33</w:t>
            </w:r>
          </w:p>
        </w:tc>
        <w:tc>
          <w:tcPr>
            <w:vAlign w:val="center"/>
          </w:tcPr>
          <w:p w14:paraId="7BC0ED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4.5</w:t>
            </w:r>
          </w:p>
        </w:tc>
        <w:tc>
          <w:tcPr>
            <w:vMerge w:val="continue"/>
            <w:vAlign w:val="center"/>
          </w:tcPr>
          <w:p w14:paraId="395C08AF">
            <w:pPr>
              <w:jc w:val="center"/>
              <w:rPr>
                <w:sz w:val="21"/>
                <w:szCs w:val="21"/>
              </w:rPr>
            </w:pPr>
          </w:p>
        </w:tc>
      </w:tr>
      <w:tr w14:paraId="3FD838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AAC3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vAlign w:val="center"/>
          </w:tcPr>
          <w:p w14:paraId="4701CE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34.2</w:t>
            </w:r>
          </w:p>
        </w:tc>
        <w:tc>
          <w:tcPr>
            <w:vAlign w:val="center"/>
          </w:tcPr>
          <w:p w14:paraId="366D00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</w:t>
            </w:r>
          </w:p>
        </w:tc>
        <w:tc>
          <w:tcPr>
            <w:vAlign w:val="center"/>
          </w:tcPr>
          <w:p w14:paraId="660B69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386.11</w:t>
            </w:r>
          </w:p>
        </w:tc>
        <w:tc>
          <w:tcPr>
            <w:vAlign w:val="center"/>
          </w:tcPr>
          <w:p w14:paraId="0282EB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216.67</w:t>
            </w:r>
          </w:p>
        </w:tc>
        <w:tc>
          <w:tcPr>
            <w:vAlign w:val="center"/>
          </w:tcPr>
          <w:p w14:paraId="5E67EE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4.0</w:t>
            </w:r>
          </w:p>
        </w:tc>
        <w:tc>
          <w:tcPr>
            <w:vMerge w:val="continue"/>
            <w:vAlign w:val="center"/>
          </w:tcPr>
          <w:p w14:paraId="25CB48D0">
            <w:pPr>
              <w:jc w:val="center"/>
              <w:rPr>
                <w:sz w:val="21"/>
                <w:szCs w:val="21"/>
              </w:rPr>
            </w:pPr>
          </w:p>
        </w:tc>
      </w:tr>
      <w:tr w14:paraId="698D96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6EC5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vAlign w:val="center"/>
          </w:tcPr>
          <w:p w14:paraId="5103D3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33.6</w:t>
            </w:r>
          </w:p>
        </w:tc>
        <w:tc>
          <w:tcPr>
            <w:vAlign w:val="center"/>
          </w:tcPr>
          <w:p w14:paraId="638031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</w:t>
            </w:r>
          </w:p>
        </w:tc>
        <w:tc>
          <w:tcPr>
            <w:vAlign w:val="center"/>
          </w:tcPr>
          <w:p w14:paraId="6CF968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277.78</w:t>
            </w:r>
          </w:p>
        </w:tc>
        <w:tc>
          <w:tcPr>
            <w:vAlign w:val="center"/>
          </w:tcPr>
          <w:p w14:paraId="77FF79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166.67</w:t>
            </w:r>
          </w:p>
        </w:tc>
        <w:tc>
          <w:tcPr>
            <w:vAlign w:val="center"/>
          </w:tcPr>
          <w:p w14:paraId="5811CE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3.5</w:t>
            </w:r>
          </w:p>
        </w:tc>
        <w:tc>
          <w:tcPr>
            <w:vMerge w:val="continue"/>
            <w:vAlign w:val="center"/>
          </w:tcPr>
          <w:p w14:paraId="3AB63716">
            <w:pPr>
              <w:jc w:val="center"/>
              <w:rPr>
                <w:sz w:val="21"/>
                <w:szCs w:val="21"/>
              </w:rPr>
            </w:pPr>
          </w:p>
        </w:tc>
      </w:tr>
      <w:tr w14:paraId="177562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6ADD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vAlign w:val="center"/>
          </w:tcPr>
          <w:p w14:paraId="745B4A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32.7</w:t>
            </w:r>
          </w:p>
        </w:tc>
        <w:tc>
          <w:tcPr>
            <w:vAlign w:val="center"/>
          </w:tcPr>
          <w:p w14:paraId="2BBF5C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vAlign w:val="center"/>
          </w:tcPr>
          <w:p w14:paraId="4ED54A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169.44</w:t>
            </w:r>
          </w:p>
        </w:tc>
        <w:tc>
          <w:tcPr>
            <w:vAlign w:val="center"/>
          </w:tcPr>
          <w:p w14:paraId="5B08E7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111.11</w:t>
            </w:r>
          </w:p>
        </w:tc>
        <w:tc>
          <w:tcPr>
            <w:vAlign w:val="center"/>
          </w:tcPr>
          <w:p w14:paraId="02F90E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</w:t>
            </w:r>
          </w:p>
        </w:tc>
        <w:tc>
          <w:tcPr>
            <w:vMerge w:val="continue"/>
            <w:vAlign w:val="center"/>
          </w:tcPr>
          <w:p w14:paraId="042AD272">
            <w:pPr>
              <w:jc w:val="center"/>
              <w:rPr>
                <w:sz w:val="21"/>
                <w:szCs w:val="21"/>
              </w:rPr>
            </w:pPr>
          </w:p>
        </w:tc>
      </w:tr>
      <w:tr w14:paraId="6D463B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9B83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vAlign w:val="center"/>
          </w:tcPr>
          <w:p w14:paraId="39A644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31.9</w:t>
            </w:r>
          </w:p>
        </w:tc>
        <w:tc>
          <w:tcPr>
            <w:vAlign w:val="center"/>
          </w:tcPr>
          <w:p w14:paraId="5A8274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</w:t>
            </w:r>
          </w:p>
        </w:tc>
        <w:tc>
          <w:tcPr>
            <w:vAlign w:val="center"/>
          </w:tcPr>
          <w:p w14:paraId="5B152B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72.22</w:t>
            </w:r>
          </w:p>
        </w:tc>
        <w:tc>
          <w:tcPr>
            <w:vAlign w:val="center"/>
          </w:tcPr>
          <w:p w14:paraId="7CC28A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50.00</w:t>
            </w:r>
          </w:p>
        </w:tc>
        <w:tc>
          <w:tcPr>
            <w:vAlign w:val="center"/>
          </w:tcPr>
          <w:p w14:paraId="1EC59A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</w:t>
            </w:r>
          </w:p>
        </w:tc>
        <w:tc>
          <w:tcPr>
            <w:vMerge w:val="continue"/>
            <w:vAlign w:val="center"/>
          </w:tcPr>
          <w:p w14:paraId="2D891DE9">
            <w:pPr>
              <w:jc w:val="center"/>
              <w:rPr>
                <w:sz w:val="21"/>
                <w:szCs w:val="21"/>
              </w:rPr>
            </w:pPr>
          </w:p>
        </w:tc>
      </w:tr>
      <w:tr w14:paraId="123E2C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D551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vAlign w:val="center"/>
          </w:tcPr>
          <w:p w14:paraId="3D7CE3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31.1</w:t>
            </w:r>
          </w:p>
        </w:tc>
        <w:tc>
          <w:tcPr>
            <w:vAlign w:val="center"/>
          </w:tcPr>
          <w:p w14:paraId="089DD5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</w:t>
            </w:r>
          </w:p>
        </w:tc>
        <w:tc>
          <w:tcPr>
            <w:vAlign w:val="center"/>
          </w:tcPr>
          <w:p w14:paraId="357B84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21BDC3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48BDCA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</w:t>
            </w:r>
          </w:p>
        </w:tc>
        <w:tc>
          <w:tcPr>
            <w:vMerge w:val="continue"/>
            <w:vAlign w:val="center"/>
          </w:tcPr>
          <w:p w14:paraId="5881A3AB">
            <w:pPr>
              <w:jc w:val="center"/>
              <w:rPr>
                <w:sz w:val="21"/>
                <w:szCs w:val="21"/>
              </w:rPr>
            </w:pPr>
          </w:p>
        </w:tc>
      </w:tr>
      <w:tr w14:paraId="3F2960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AB95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vAlign w:val="center"/>
          </w:tcPr>
          <w:p w14:paraId="13FE5B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30.4</w:t>
            </w:r>
          </w:p>
        </w:tc>
        <w:tc>
          <w:tcPr>
            <w:vAlign w:val="center"/>
          </w:tcPr>
          <w:p w14:paraId="753D9A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</w:t>
            </w:r>
          </w:p>
        </w:tc>
        <w:tc>
          <w:tcPr>
            <w:vAlign w:val="center"/>
          </w:tcPr>
          <w:p w14:paraId="340465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625373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15458E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  <w:tc>
          <w:tcPr>
            <w:vMerge w:val="continue"/>
            <w:vAlign w:val="center"/>
          </w:tcPr>
          <w:p w14:paraId="4AB53836">
            <w:pPr>
              <w:jc w:val="center"/>
              <w:rPr>
                <w:sz w:val="21"/>
                <w:szCs w:val="21"/>
              </w:rPr>
            </w:pPr>
          </w:p>
        </w:tc>
      </w:tr>
      <w:tr w14:paraId="34641D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E5B8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vAlign w:val="center"/>
          </w:tcPr>
          <w:p w14:paraId="73E428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29.9</w:t>
            </w:r>
          </w:p>
        </w:tc>
        <w:tc>
          <w:tcPr>
            <w:vAlign w:val="center"/>
          </w:tcPr>
          <w:p w14:paraId="52BE92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</w:t>
            </w:r>
          </w:p>
        </w:tc>
        <w:tc>
          <w:tcPr>
            <w:vAlign w:val="center"/>
          </w:tcPr>
          <w:p w14:paraId="06E1EF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4D19BC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0DB679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vMerge w:val="continue"/>
            <w:vAlign w:val="center"/>
          </w:tcPr>
          <w:p w14:paraId="5AEC1AE3">
            <w:pPr>
              <w:jc w:val="center"/>
              <w:rPr>
                <w:sz w:val="21"/>
                <w:szCs w:val="21"/>
              </w:rPr>
            </w:pPr>
          </w:p>
        </w:tc>
      </w:tr>
      <w:tr w14:paraId="4D1DDA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A91B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vAlign w:val="center"/>
          </w:tcPr>
          <w:p w14:paraId="39F33F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29.5</w:t>
            </w:r>
          </w:p>
        </w:tc>
        <w:tc>
          <w:tcPr>
            <w:vAlign w:val="center"/>
          </w:tcPr>
          <w:p w14:paraId="5C97D3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</w:t>
            </w:r>
          </w:p>
        </w:tc>
        <w:tc>
          <w:tcPr>
            <w:vAlign w:val="center"/>
          </w:tcPr>
          <w:p w14:paraId="6DAFF7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2C3FF3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7A168D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</w:t>
            </w:r>
          </w:p>
        </w:tc>
        <w:tc>
          <w:tcPr>
            <w:vMerge w:val="continue"/>
            <w:vAlign w:val="center"/>
          </w:tcPr>
          <w:p w14:paraId="20039439">
            <w:pPr>
              <w:jc w:val="center"/>
              <w:rPr>
                <w:sz w:val="21"/>
                <w:szCs w:val="21"/>
              </w:rPr>
            </w:pPr>
          </w:p>
        </w:tc>
      </w:tr>
      <w:tr w14:paraId="686AA4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364E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vAlign w:val="center"/>
          </w:tcPr>
          <w:p w14:paraId="0DA469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29.2</w:t>
            </w:r>
          </w:p>
        </w:tc>
        <w:tc>
          <w:tcPr>
            <w:vAlign w:val="center"/>
          </w:tcPr>
          <w:p w14:paraId="1D3A44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</w:t>
            </w:r>
          </w:p>
        </w:tc>
        <w:tc>
          <w:tcPr>
            <w:vAlign w:val="center"/>
          </w:tcPr>
          <w:p w14:paraId="2AD35C1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399F21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6436EE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2.7</w:t>
            </w:r>
          </w:p>
        </w:tc>
        <w:tc>
          <w:tcPr>
            <w:vMerge w:val="continue"/>
            <w:vAlign w:val="center"/>
          </w:tcPr>
          <w:p w14:paraId="62ABBA0B">
            <w:pPr>
              <w:jc w:val="center"/>
              <w:rPr>
                <w:sz w:val="21"/>
                <w:szCs w:val="21"/>
              </w:rPr>
            </w:pPr>
          </w:p>
        </w:tc>
      </w:tr>
      <w:tr w14:paraId="3D5AD0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08F1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日平均</w:t>
            </w:r>
          </w:p>
        </w:tc>
        <w:tc>
          <w:tcPr>
            <w:vAlign w:val="center"/>
          </w:tcPr>
          <w:p w14:paraId="5C6497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31.3</w:t>
            </w:r>
          </w:p>
        </w:tc>
        <w:tc>
          <w:tcPr>
            <w:vAlign w:val="center"/>
          </w:tcPr>
          <w:p w14:paraId="74A888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</w:t>
            </w:r>
          </w:p>
        </w:tc>
        <w:tc>
          <w:tcPr>
            <w:vAlign w:val="center"/>
          </w:tcPr>
          <w:p w14:paraId="1E428D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194.10</w:t>
            </w:r>
          </w:p>
        </w:tc>
        <w:tc>
          <w:tcPr>
            <w:vAlign w:val="center"/>
          </w:tcPr>
          <w:p w14:paraId="1D9C07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108.56</w:t>
            </w:r>
          </w:p>
        </w:tc>
        <w:tc>
          <w:tcPr>
            <w:vAlign w:val="center"/>
          </w:tcPr>
          <w:p w14:paraId="130ECC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3.2</w:t>
            </w:r>
          </w:p>
        </w:tc>
        <w:tc>
          <w:tcPr>
            <w:vMerge w:val="continue"/>
            <w:vAlign w:val="center"/>
          </w:tcPr>
          <w:p w14:paraId="4BC147E2">
            <w:pPr>
              <w:jc w:val="center"/>
              <w:rPr>
                <w:sz w:val="21"/>
                <w:szCs w:val="21"/>
              </w:rPr>
            </w:pPr>
          </w:p>
        </w:tc>
      </w:tr>
    </w:tbl>
    <w:p w14:paraId="1E92964C">
      <w:pPr>
        <w:pStyle w:val="3"/>
        <w:ind w:firstLine="0" w:firstLineChars="0"/>
        <w:rPr>
          <w:lang w:val="en-US"/>
        </w:rPr>
      </w:pPr>
      <w:bookmarkStart w:id="30" w:name="气象参数"/>
      <w:bookmarkEnd w:id="30"/>
    </w:p>
    <w:p w14:paraId="007C1FBF">
      <w:pPr>
        <w:pStyle w:val="4"/>
      </w:pPr>
      <w:bookmarkStart w:id="31" w:name="_Toc22505"/>
      <w:r>
        <w:rPr>
          <w:rFonts w:hint="eastAsia"/>
        </w:rPr>
        <w:t>渗透面夏季逐时蒸发量</w:t>
      </w:r>
      <w:bookmarkEnd w:id="31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0D79AC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F890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时刻</w:t>
            </w:r>
          </w:p>
        </w:tc>
        <w:tc>
          <w:tcPr>
            <w:shd w:val="clear" w:color="auto" w:fill="E6E6E6"/>
            <w:vAlign w:val="center"/>
          </w:tcPr>
          <w:p w14:paraId="10470F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水面(kg/(㎡.h))</w:t>
            </w:r>
          </w:p>
        </w:tc>
        <w:tc>
          <w:tcPr>
            <w:shd w:val="clear" w:color="auto" w:fill="E6E6E6"/>
            <w:vAlign w:val="center"/>
          </w:tcPr>
          <w:p w14:paraId="45B5FD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绿地(kg/(㎡.h))</w:t>
            </w:r>
          </w:p>
        </w:tc>
        <w:tc>
          <w:tcPr>
            <w:shd w:val="clear" w:color="auto" w:fill="E6E6E6"/>
            <w:vAlign w:val="center"/>
          </w:tcPr>
          <w:p w14:paraId="655491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渗透型硬地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(kg/(㎡.h))</w:t>
            </w:r>
          </w:p>
        </w:tc>
        <w:tc>
          <w:tcPr>
            <w:shd w:val="clear" w:color="auto" w:fill="E6E6E6"/>
            <w:vAlign w:val="center"/>
          </w:tcPr>
          <w:p w14:paraId="36C549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绿化屋面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(kg/(㎡.h))</w:t>
            </w:r>
          </w:p>
        </w:tc>
      </w:tr>
      <w:tr w14:paraId="5C287C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12229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vAlign w:val="center"/>
          </w:tcPr>
          <w:p w14:paraId="75C873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</w:t>
            </w:r>
          </w:p>
        </w:tc>
        <w:tc>
          <w:tcPr>
            <w:vAlign w:val="center"/>
          </w:tcPr>
          <w:p w14:paraId="722F5F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0.28</w:t>
            </w:r>
          </w:p>
        </w:tc>
        <w:tc>
          <w:tcPr>
            <w:vAlign w:val="center"/>
          </w:tcPr>
          <w:p w14:paraId="0A6B809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 w14:paraId="5A236A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0.22</w:t>
            </w:r>
          </w:p>
        </w:tc>
      </w:tr>
      <w:tr w14:paraId="7B50DA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B52F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vAlign w:val="center"/>
          </w:tcPr>
          <w:p w14:paraId="7B7A11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</w:t>
            </w:r>
          </w:p>
        </w:tc>
        <w:tc>
          <w:tcPr>
            <w:vAlign w:val="center"/>
          </w:tcPr>
          <w:p w14:paraId="187206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0.20</w:t>
            </w:r>
          </w:p>
        </w:tc>
        <w:tc>
          <w:tcPr>
            <w:vAlign w:val="center"/>
          </w:tcPr>
          <w:p w14:paraId="3DE61B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 w14:paraId="00AB47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</w:t>
            </w:r>
          </w:p>
        </w:tc>
      </w:tr>
      <w:tr w14:paraId="1FFC05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5AFF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vAlign w:val="center"/>
          </w:tcPr>
          <w:p w14:paraId="27AF0A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</w:t>
            </w:r>
          </w:p>
        </w:tc>
        <w:tc>
          <w:tcPr>
            <w:vAlign w:val="center"/>
          </w:tcPr>
          <w:p w14:paraId="23C5CA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0.19</w:t>
            </w:r>
          </w:p>
        </w:tc>
        <w:tc>
          <w:tcPr>
            <w:vAlign w:val="center"/>
          </w:tcPr>
          <w:p w14:paraId="0C0099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</w:t>
            </w:r>
          </w:p>
        </w:tc>
        <w:tc>
          <w:tcPr>
            <w:vAlign w:val="center"/>
          </w:tcPr>
          <w:p w14:paraId="463EE8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</w:t>
            </w:r>
          </w:p>
        </w:tc>
      </w:tr>
      <w:tr w14:paraId="1C2258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D36D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vAlign w:val="center"/>
          </w:tcPr>
          <w:p w14:paraId="730AD8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 w14:paraId="3A699D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</w:t>
            </w:r>
          </w:p>
        </w:tc>
        <w:tc>
          <w:tcPr>
            <w:vAlign w:val="center"/>
          </w:tcPr>
          <w:p w14:paraId="6C4FD0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0.08</w:t>
            </w:r>
          </w:p>
        </w:tc>
        <w:tc>
          <w:tcPr>
            <w:vAlign w:val="center"/>
          </w:tcPr>
          <w:p w14:paraId="3784BB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0.15</w:t>
            </w:r>
          </w:p>
        </w:tc>
      </w:tr>
      <w:tr w14:paraId="37F211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60E1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vAlign w:val="center"/>
          </w:tcPr>
          <w:p w14:paraId="3DC44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0.11</w:t>
            </w:r>
          </w:p>
        </w:tc>
        <w:tc>
          <w:tcPr>
            <w:vAlign w:val="center"/>
          </w:tcPr>
          <w:p w14:paraId="27E6D9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0.21</w:t>
            </w:r>
          </w:p>
        </w:tc>
        <w:tc>
          <w:tcPr>
            <w:vAlign w:val="center"/>
          </w:tcPr>
          <w:p w14:paraId="521D1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</w:t>
            </w:r>
          </w:p>
        </w:tc>
        <w:tc>
          <w:tcPr>
            <w:vAlign w:val="center"/>
          </w:tcPr>
          <w:p w14:paraId="60EFC9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0.17</w:t>
            </w:r>
          </w:p>
        </w:tc>
      </w:tr>
      <w:tr w14:paraId="059058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F7E9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vAlign w:val="center"/>
          </w:tcPr>
          <w:p w14:paraId="7BE59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0.16</w:t>
            </w:r>
          </w:p>
        </w:tc>
        <w:tc>
          <w:tcPr>
            <w:vAlign w:val="center"/>
          </w:tcPr>
          <w:p w14:paraId="28A8EA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0.26</w:t>
            </w:r>
          </w:p>
        </w:tc>
        <w:tc>
          <w:tcPr>
            <w:vAlign w:val="center"/>
          </w:tcPr>
          <w:p w14:paraId="2FE9166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 w14:paraId="67D00C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0.20</w:t>
            </w:r>
          </w:p>
        </w:tc>
      </w:tr>
      <w:tr w14:paraId="17B67C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3AFF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vAlign w:val="center"/>
          </w:tcPr>
          <w:p w14:paraId="4C8DA7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0.28</w:t>
            </w:r>
          </w:p>
        </w:tc>
        <w:tc>
          <w:tcPr>
            <w:vAlign w:val="center"/>
          </w:tcPr>
          <w:p w14:paraId="37B6B1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0.35</w:t>
            </w:r>
          </w:p>
        </w:tc>
        <w:tc>
          <w:tcPr>
            <w:vAlign w:val="center"/>
          </w:tcPr>
          <w:p w14:paraId="3F396B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</w:t>
            </w:r>
          </w:p>
        </w:tc>
        <w:tc>
          <w:tcPr>
            <w:vAlign w:val="center"/>
          </w:tcPr>
          <w:p w14:paraId="3551CF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0.28</w:t>
            </w:r>
          </w:p>
        </w:tc>
      </w:tr>
      <w:tr w14:paraId="7D4135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83B3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vAlign w:val="center"/>
          </w:tcPr>
          <w:p w14:paraId="6E0561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0.45</w:t>
            </w:r>
          </w:p>
        </w:tc>
        <w:tc>
          <w:tcPr>
            <w:vAlign w:val="center"/>
          </w:tcPr>
          <w:p w14:paraId="36BB84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0.44</w:t>
            </w:r>
          </w:p>
        </w:tc>
        <w:tc>
          <w:tcPr>
            <w:vAlign w:val="center"/>
          </w:tcPr>
          <w:p w14:paraId="553019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</w:t>
            </w:r>
          </w:p>
        </w:tc>
        <w:tc>
          <w:tcPr>
            <w:vAlign w:val="center"/>
          </w:tcPr>
          <w:p w14:paraId="1A0292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0.35</w:t>
            </w:r>
          </w:p>
        </w:tc>
      </w:tr>
      <w:tr w14:paraId="533C7E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E72C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vAlign w:val="center"/>
          </w:tcPr>
          <w:p w14:paraId="5BF7AA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0.65</w:t>
            </w:r>
          </w:p>
        </w:tc>
        <w:tc>
          <w:tcPr>
            <w:vAlign w:val="center"/>
          </w:tcPr>
          <w:p w14:paraId="18C3A8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0.56</w:t>
            </w:r>
          </w:p>
        </w:tc>
        <w:tc>
          <w:tcPr>
            <w:vAlign w:val="center"/>
          </w:tcPr>
          <w:p w14:paraId="1470D2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</w:t>
            </w:r>
          </w:p>
        </w:tc>
        <w:tc>
          <w:tcPr>
            <w:vAlign w:val="center"/>
          </w:tcPr>
          <w:p w14:paraId="579CCF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0.45</w:t>
            </w:r>
          </w:p>
        </w:tc>
      </w:tr>
      <w:tr w14:paraId="65AFEF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6540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vAlign w:val="center"/>
          </w:tcPr>
          <w:p w14:paraId="4AA5FD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0.86</w:t>
            </w:r>
          </w:p>
        </w:tc>
        <w:tc>
          <w:tcPr>
            <w:vAlign w:val="center"/>
          </w:tcPr>
          <w:p w14:paraId="121295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0.65</w:t>
            </w:r>
          </w:p>
        </w:tc>
        <w:tc>
          <w:tcPr>
            <w:vAlign w:val="center"/>
          </w:tcPr>
          <w:p w14:paraId="34E151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</w:t>
            </w:r>
          </w:p>
        </w:tc>
        <w:tc>
          <w:tcPr>
            <w:vAlign w:val="center"/>
          </w:tcPr>
          <w:p w14:paraId="36EC8C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0.52</w:t>
            </w:r>
          </w:p>
        </w:tc>
      </w:tr>
      <w:tr w14:paraId="3F074E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62CA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vAlign w:val="center"/>
          </w:tcPr>
          <w:p w14:paraId="53DC3B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1.02</w:t>
            </w:r>
          </w:p>
        </w:tc>
        <w:tc>
          <w:tcPr>
            <w:vAlign w:val="center"/>
          </w:tcPr>
          <w:p w14:paraId="319311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0.69</w:t>
            </w:r>
          </w:p>
        </w:tc>
        <w:tc>
          <w:tcPr>
            <w:vAlign w:val="center"/>
          </w:tcPr>
          <w:p w14:paraId="49171A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</w:t>
            </w:r>
          </w:p>
        </w:tc>
        <w:tc>
          <w:tcPr>
            <w:vAlign w:val="center"/>
          </w:tcPr>
          <w:p w14:paraId="43D909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0.55</w:t>
            </w:r>
          </w:p>
        </w:tc>
      </w:tr>
      <w:tr w14:paraId="2A8B63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0C7A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vAlign w:val="center"/>
          </w:tcPr>
          <w:p w14:paraId="60A451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1.15</w:t>
            </w:r>
          </w:p>
        </w:tc>
        <w:tc>
          <w:tcPr>
            <w:vAlign w:val="center"/>
          </w:tcPr>
          <w:p w14:paraId="559F55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0.65</w:t>
            </w:r>
          </w:p>
        </w:tc>
        <w:tc>
          <w:tcPr>
            <w:vAlign w:val="center"/>
          </w:tcPr>
          <w:p w14:paraId="0600EC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</w:t>
            </w:r>
          </w:p>
        </w:tc>
        <w:tc>
          <w:tcPr>
            <w:vAlign w:val="center"/>
          </w:tcPr>
          <w:p w14:paraId="4227F2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0.52</w:t>
            </w:r>
          </w:p>
        </w:tc>
      </w:tr>
      <w:tr w14:paraId="49B75A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6DE9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vAlign w:val="center"/>
          </w:tcPr>
          <w:p w14:paraId="0C5687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1.18</w:t>
            </w:r>
          </w:p>
        </w:tc>
        <w:tc>
          <w:tcPr>
            <w:vAlign w:val="center"/>
          </w:tcPr>
          <w:p w14:paraId="015925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0.59</w:t>
            </w:r>
          </w:p>
        </w:tc>
        <w:tc>
          <w:tcPr>
            <w:vAlign w:val="center"/>
          </w:tcPr>
          <w:p w14:paraId="256667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</w:t>
            </w:r>
          </w:p>
        </w:tc>
        <w:tc>
          <w:tcPr>
            <w:vAlign w:val="center"/>
          </w:tcPr>
          <w:p w14:paraId="319682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0.47</w:t>
            </w:r>
          </w:p>
        </w:tc>
      </w:tr>
      <w:tr w14:paraId="003168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3B3F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vAlign w:val="center"/>
          </w:tcPr>
          <w:p w14:paraId="71CC4D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1.15</w:t>
            </w:r>
          </w:p>
        </w:tc>
        <w:tc>
          <w:tcPr>
            <w:vAlign w:val="center"/>
          </w:tcPr>
          <w:p w14:paraId="337FDC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0.52</w:t>
            </w:r>
          </w:p>
        </w:tc>
        <w:tc>
          <w:tcPr>
            <w:vAlign w:val="center"/>
          </w:tcPr>
          <w:p w14:paraId="1CEA12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</w:t>
            </w:r>
          </w:p>
        </w:tc>
        <w:tc>
          <w:tcPr>
            <w:vAlign w:val="center"/>
          </w:tcPr>
          <w:p w14:paraId="13F0A3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0.42</w:t>
            </w:r>
          </w:p>
        </w:tc>
      </w:tr>
      <w:tr w14:paraId="3E75E3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6C5C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vAlign w:val="center"/>
          </w:tcPr>
          <w:p w14:paraId="3B5DE6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1.05</w:t>
            </w:r>
          </w:p>
        </w:tc>
        <w:tc>
          <w:tcPr>
            <w:vAlign w:val="center"/>
          </w:tcPr>
          <w:p w14:paraId="2C0CB9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0.40</w:t>
            </w:r>
          </w:p>
        </w:tc>
        <w:tc>
          <w:tcPr>
            <w:vAlign w:val="center"/>
          </w:tcPr>
          <w:p w14:paraId="06A770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0.07</w:t>
            </w:r>
          </w:p>
        </w:tc>
        <w:tc>
          <w:tcPr>
            <w:vAlign w:val="center"/>
          </w:tcPr>
          <w:p w14:paraId="39ED51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0.32</w:t>
            </w:r>
          </w:p>
        </w:tc>
      </w:tr>
      <w:tr w14:paraId="3DEE8F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1E50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vAlign w:val="center"/>
          </w:tcPr>
          <w:p w14:paraId="08DBBE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0.93</w:t>
            </w:r>
          </w:p>
        </w:tc>
        <w:tc>
          <w:tcPr>
            <w:vAlign w:val="center"/>
          </w:tcPr>
          <w:p w14:paraId="6B349B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0.35</w:t>
            </w:r>
          </w:p>
        </w:tc>
        <w:tc>
          <w:tcPr>
            <w:vAlign w:val="center"/>
          </w:tcPr>
          <w:p w14:paraId="3DFC01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0.04</w:t>
            </w:r>
          </w:p>
        </w:tc>
        <w:tc>
          <w:tcPr>
            <w:vAlign w:val="center"/>
          </w:tcPr>
          <w:p w14:paraId="5F59E3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0.28</w:t>
            </w:r>
          </w:p>
        </w:tc>
      </w:tr>
      <w:tr w14:paraId="2E56CF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B6D4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vAlign w:val="center"/>
          </w:tcPr>
          <w:p w14:paraId="76A15E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0.75</w:t>
            </w:r>
          </w:p>
        </w:tc>
        <w:tc>
          <w:tcPr>
            <w:vAlign w:val="center"/>
          </w:tcPr>
          <w:p w14:paraId="1297E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</w:t>
            </w:r>
          </w:p>
        </w:tc>
        <w:tc>
          <w:tcPr>
            <w:vAlign w:val="center"/>
          </w:tcPr>
          <w:p w14:paraId="773650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</w:t>
            </w:r>
          </w:p>
        </w:tc>
        <w:tc>
          <w:tcPr>
            <w:vAlign w:val="center"/>
          </w:tcPr>
          <w:p w14:paraId="7DB224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0.20</w:t>
            </w:r>
          </w:p>
        </w:tc>
      </w:tr>
      <w:tr w14:paraId="4714F7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BA45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vAlign w:val="center"/>
          </w:tcPr>
          <w:p w14:paraId="7A9601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0.60</w:t>
            </w:r>
          </w:p>
        </w:tc>
        <w:tc>
          <w:tcPr>
            <w:vAlign w:val="center"/>
          </w:tcPr>
          <w:p w14:paraId="2C5441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0.21</w:t>
            </w:r>
          </w:p>
        </w:tc>
        <w:tc>
          <w:tcPr>
            <w:vAlign w:val="center"/>
          </w:tcPr>
          <w:p w14:paraId="697D4E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0.03</w:t>
            </w:r>
          </w:p>
        </w:tc>
        <w:tc>
          <w:tcPr>
            <w:vAlign w:val="center"/>
          </w:tcPr>
          <w:p w14:paraId="1163E7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0.17</w:t>
            </w:r>
          </w:p>
        </w:tc>
      </w:tr>
      <w:tr w14:paraId="5F64DA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7BE6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vAlign w:val="center"/>
          </w:tcPr>
          <w:p w14:paraId="2DA6D5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0.51</w:t>
            </w:r>
          </w:p>
        </w:tc>
        <w:tc>
          <w:tcPr>
            <w:vAlign w:val="center"/>
          </w:tcPr>
          <w:p w14:paraId="0574A6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0.17</w:t>
            </w:r>
          </w:p>
        </w:tc>
        <w:tc>
          <w:tcPr>
            <w:vAlign w:val="center"/>
          </w:tcPr>
          <w:p w14:paraId="32EEC1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0.02</w:t>
            </w:r>
          </w:p>
        </w:tc>
        <w:tc>
          <w:tcPr>
            <w:vAlign w:val="center"/>
          </w:tcPr>
          <w:p w14:paraId="104A5C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</w:t>
            </w:r>
          </w:p>
        </w:tc>
      </w:tr>
      <w:tr w14:paraId="084675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F69B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vAlign w:val="center"/>
          </w:tcPr>
          <w:p w14:paraId="64C44B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0.33</w:t>
            </w:r>
          </w:p>
        </w:tc>
        <w:tc>
          <w:tcPr>
            <w:vAlign w:val="center"/>
          </w:tcPr>
          <w:p w14:paraId="23561E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0.14</w:t>
            </w:r>
          </w:p>
        </w:tc>
        <w:tc>
          <w:tcPr>
            <w:vAlign w:val="center"/>
          </w:tcPr>
          <w:p w14:paraId="5499B4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</w:t>
            </w:r>
          </w:p>
        </w:tc>
        <w:tc>
          <w:tcPr>
            <w:vAlign w:val="center"/>
          </w:tcPr>
          <w:p w14:paraId="0A5F40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0.11</w:t>
            </w:r>
          </w:p>
        </w:tc>
      </w:tr>
      <w:tr w14:paraId="178DE4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18D1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vAlign w:val="center"/>
          </w:tcPr>
          <w:p w14:paraId="4DE3D0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0.29</w:t>
            </w:r>
          </w:p>
        </w:tc>
        <w:tc>
          <w:tcPr>
            <w:vAlign w:val="center"/>
          </w:tcPr>
          <w:p w14:paraId="00B2D2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0.12</w:t>
            </w:r>
          </w:p>
        </w:tc>
        <w:tc>
          <w:tcPr>
            <w:vAlign w:val="center"/>
          </w:tcPr>
          <w:p w14:paraId="66B1C4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7994FA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</w:t>
            </w:r>
          </w:p>
        </w:tc>
      </w:tr>
      <w:tr w14:paraId="201A6B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EE91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vAlign w:val="center"/>
          </w:tcPr>
          <w:p w14:paraId="52855C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0.22</w:t>
            </w:r>
          </w:p>
        </w:tc>
        <w:tc>
          <w:tcPr>
            <w:vAlign w:val="center"/>
          </w:tcPr>
          <w:p w14:paraId="125343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0.11</w:t>
            </w:r>
          </w:p>
        </w:tc>
        <w:tc>
          <w:tcPr>
            <w:vAlign w:val="center"/>
          </w:tcPr>
          <w:p w14:paraId="540821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</w:t>
            </w:r>
          </w:p>
        </w:tc>
        <w:tc>
          <w:tcPr>
            <w:vAlign w:val="center"/>
          </w:tcPr>
          <w:p w14:paraId="2CB0E2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0.09</w:t>
            </w:r>
          </w:p>
        </w:tc>
      </w:tr>
      <w:tr w14:paraId="59D1D4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FB48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vAlign w:val="center"/>
          </w:tcPr>
          <w:p w14:paraId="00BA18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0.18</w:t>
            </w:r>
          </w:p>
        </w:tc>
        <w:tc>
          <w:tcPr>
            <w:vAlign w:val="center"/>
          </w:tcPr>
          <w:p w14:paraId="02748B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0.08</w:t>
            </w:r>
          </w:p>
        </w:tc>
        <w:tc>
          <w:tcPr>
            <w:vAlign w:val="center"/>
          </w:tcPr>
          <w:p w14:paraId="658E40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0.01</w:t>
            </w:r>
          </w:p>
        </w:tc>
        <w:tc>
          <w:tcPr>
            <w:vAlign w:val="center"/>
          </w:tcPr>
          <w:p w14:paraId="5AF464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0.06</w:t>
            </w:r>
          </w:p>
        </w:tc>
      </w:tr>
      <w:tr w14:paraId="17A988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FAC1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vAlign w:val="center"/>
          </w:tcPr>
          <w:p w14:paraId="23B504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0.15</w:t>
            </w:r>
          </w:p>
        </w:tc>
        <w:tc>
          <w:tcPr>
            <w:vAlign w:val="center"/>
          </w:tcPr>
          <w:p w14:paraId="596053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0.10</w:t>
            </w:r>
          </w:p>
        </w:tc>
        <w:tc>
          <w:tcPr>
            <w:vAlign w:val="center"/>
          </w:tcPr>
          <w:p w14:paraId="697636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  <w:tc>
          <w:tcPr>
            <w:vAlign w:val="center"/>
          </w:tcPr>
          <w:p w14:paraId="5869CC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0.08</w:t>
            </w:r>
          </w:p>
        </w:tc>
      </w:tr>
      <w:tr w14:paraId="403AEF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04F8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日累计(kg/(㎡.d))</w:t>
            </w:r>
          </w:p>
        </w:tc>
        <w:tc>
          <w:tcPr>
            <w:vAlign w:val="center"/>
          </w:tcPr>
          <w:p w14:paraId="76F605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12.50</w:t>
            </w:r>
          </w:p>
        </w:tc>
        <w:tc>
          <w:tcPr>
            <w:vAlign w:val="center"/>
          </w:tcPr>
          <w:p w14:paraId="421C2E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7.70</w:t>
            </w:r>
          </w:p>
        </w:tc>
        <w:tc>
          <w:tcPr>
            <w:vAlign w:val="center"/>
          </w:tcPr>
          <w:p w14:paraId="5DDA2F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1.70</w:t>
            </w:r>
          </w:p>
        </w:tc>
        <w:tc>
          <w:tcPr>
            <w:vAlign w:val="center"/>
          </w:tcPr>
          <w:p w14:paraId="6D469F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6.16</w:t>
            </w:r>
          </w:p>
        </w:tc>
      </w:tr>
    </w:tbl>
    <w:p w14:paraId="31BD60EE">
      <w:pPr>
        <w:pStyle w:val="3"/>
        <w:ind w:firstLine="0" w:firstLineChars="0"/>
        <w:rPr>
          <w:lang w:val="en-US"/>
        </w:rPr>
      </w:pPr>
      <w:bookmarkStart w:id="32" w:name="蒸发量参数"/>
      <w:bookmarkEnd w:id="32"/>
    </w:p>
    <w:p w14:paraId="362151AC">
      <w:pPr>
        <w:pStyle w:val="2"/>
      </w:pPr>
      <w:bookmarkStart w:id="33" w:name="_Toc6050"/>
      <w:r>
        <w:rPr>
          <w:rFonts w:hint="eastAsia"/>
        </w:rPr>
        <w:t>住区指标概览</w:t>
      </w:r>
      <w:bookmarkEnd w:id="33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6"/>
        <w:gridCol w:w="4666"/>
      </w:tblGrid>
      <w:tr w14:paraId="0518BB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2842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指标</w:t>
            </w:r>
          </w:p>
        </w:tc>
        <w:tc>
          <w:tcPr>
            <w:shd w:val="clear" w:color="auto" w:fill="E6E6E6"/>
            <w:vAlign w:val="center"/>
          </w:tcPr>
          <w:p w14:paraId="13750F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值</w:t>
            </w:r>
          </w:p>
        </w:tc>
      </w:tr>
      <w:tr w14:paraId="26C6AE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1CFE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地块面积(㎡)</w:t>
            </w:r>
          </w:p>
        </w:tc>
        <w:tc>
          <w:tcPr>
            <w:vAlign w:val="center"/>
          </w:tcPr>
          <w:p w14:paraId="112CB9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8529.22</w:t>
            </w:r>
          </w:p>
        </w:tc>
      </w:tr>
      <w:tr w14:paraId="6FF7F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41DFC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建筑密度</w:t>
            </w:r>
          </w:p>
        </w:tc>
        <w:tc>
          <w:tcPr>
            <w:vAlign w:val="center"/>
          </w:tcPr>
          <w:p w14:paraId="0357F48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0.28</w:t>
            </w:r>
          </w:p>
        </w:tc>
      </w:tr>
      <w:tr w14:paraId="575F5E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40B65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室外面积(㎡)</w:t>
            </w:r>
          </w:p>
        </w:tc>
        <w:tc>
          <w:tcPr>
            <w:vAlign w:val="center"/>
          </w:tcPr>
          <w:p w14:paraId="1839C1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6181.77</w:t>
            </w:r>
          </w:p>
        </w:tc>
      </w:tr>
      <w:tr w14:paraId="62C16F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EA59A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广场面积(㎡)</w:t>
            </w:r>
          </w:p>
        </w:tc>
        <w:tc>
          <w:tcPr>
            <w:vAlign w:val="center"/>
          </w:tcPr>
          <w:p w14:paraId="05D0B8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</w:tr>
      <w:tr w14:paraId="39D730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B460F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道路面积(㎡)</w:t>
            </w:r>
          </w:p>
        </w:tc>
        <w:tc>
          <w:tcPr>
            <w:vAlign w:val="center"/>
          </w:tcPr>
          <w:p w14:paraId="30D667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360.04</w:t>
            </w:r>
          </w:p>
        </w:tc>
      </w:tr>
      <w:tr w14:paraId="5E3B03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58EF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绿地面积(㎡)</w:t>
            </w:r>
          </w:p>
        </w:tc>
        <w:tc>
          <w:tcPr>
            <w:vAlign w:val="center"/>
          </w:tcPr>
          <w:p w14:paraId="3B165CE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2373.68</w:t>
            </w:r>
          </w:p>
        </w:tc>
      </w:tr>
      <w:tr w14:paraId="2F69E4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A0504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水面面积(㎡)</w:t>
            </w:r>
          </w:p>
        </w:tc>
        <w:tc>
          <w:tcPr>
            <w:vAlign w:val="center"/>
          </w:tcPr>
          <w:p w14:paraId="01469B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648.91</w:t>
            </w:r>
          </w:p>
        </w:tc>
      </w:tr>
      <w:tr w14:paraId="2BE76B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304AAF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绿化屋面面积(㎡)</w:t>
            </w:r>
          </w:p>
        </w:tc>
        <w:tc>
          <w:tcPr>
            <w:vAlign w:val="center"/>
          </w:tcPr>
          <w:p w14:paraId="2354E8A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1626.17</w:t>
            </w:r>
          </w:p>
        </w:tc>
      </w:tr>
      <w:tr w14:paraId="4A1A15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B932F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乔木爬藤面积(㎡)</w:t>
            </w:r>
          </w:p>
        </w:tc>
        <w:tc>
          <w:tcPr>
            <w:vAlign w:val="center"/>
          </w:tcPr>
          <w:p w14:paraId="56E25C2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4323.96</w:t>
            </w:r>
          </w:p>
        </w:tc>
      </w:tr>
      <w:tr w14:paraId="5CF177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13D62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亭廊面积(㎡)</w:t>
            </w:r>
          </w:p>
        </w:tc>
        <w:tc>
          <w:tcPr>
            <w:vAlign w:val="center"/>
          </w:tcPr>
          <w:p w14:paraId="78B109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</w:tr>
      <w:tr w14:paraId="71C2DC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5DA7B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渗透型硬地面积(㎡)</w:t>
            </w:r>
          </w:p>
        </w:tc>
        <w:tc>
          <w:tcPr>
            <w:vAlign w:val="center"/>
          </w:tcPr>
          <w:p w14:paraId="225F05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418.79</w:t>
            </w:r>
          </w:p>
        </w:tc>
      </w:tr>
      <w:tr w14:paraId="30949F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05F12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地表平均太阳辐射吸收系数</w:t>
            </w:r>
          </w:p>
        </w:tc>
        <w:tc>
          <w:tcPr>
            <w:vAlign w:val="center"/>
          </w:tcPr>
          <w:p w14:paraId="77C0B1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0.80</w:t>
            </w:r>
          </w:p>
        </w:tc>
      </w:tr>
      <w:tr w14:paraId="31F02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4123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地面粗糙系数</w:t>
            </w:r>
          </w:p>
        </w:tc>
        <w:tc>
          <w:tcPr>
            <w:vAlign w:val="center"/>
          </w:tcPr>
          <w:p w14:paraId="3465C3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0.30</w:t>
            </w:r>
          </w:p>
        </w:tc>
      </w:tr>
      <w:tr w14:paraId="10B893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1BD6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平均迎风面积比</w:t>
            </w:r>
          </w:p>
        </w:tc>
        <w:tc>
          <w:tcPr>
            <w:vAlign w:val="center"/>
          </w:tcPr>
          <w:p w14:paraId="1050C1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</w:t>
            </w:r>
          </w:p>
        </w:tc>
      </w:tr>
      <w:tr w14:paraId="53DB24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4F50F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CTTC居住区热时间常数(h)</w:t>
            </w:r>
          </w:p>
        </w:tc>
        <w:tc>
          <w:tcPr>
            <w:vAlign w:val="center"/>
          </w:tcPr>
          <w:p w14:paraId="74AA15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10.37</w:t>
            </w:r>
          </w:p>
        </w:tc>
      </w:tr>
      <w:tr w14:paraId="323060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C5545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绿化遮阳覆盖率(%)</w:t>
            </w:r>
          </w:p>
        </w:tc>
        <w:tc>
          <w:tcPr>
            <w:vAlign w:val="center"/>
          </w:tcPr>
          <w:p w14:paraId="7D207A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</w:p>
        </w:tc>
      </w:tr>
      <w:tr w14:paraId="5CFE4E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3BCA1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构筑物遮阳覆盖率(%)</w:t>
            </w:r>
          </w:p>
        </w:tc>
        <w:tc>
          <w:tcPr>
            <w:vAlign w:val="center"/>
          </w:tcPr>
          <w:p w14:paraId="37A226B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557F55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F5C7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平均天空角系数</w:t>
            </w:r>
          </w:p>
        </w:tc>
        <w:tc>
          <w:tcPr>
            <w:vAlign w:val="center"/>
          </w:tcPr>
          <w:p w14:paraId="177D083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0.85</w:t>
            </w:r>
          </w:p>
        </w:tc>
      </w:tr>
      <w:tr w14:paraId="2986BE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4D07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通风架空率()</w:t>
            </w:r>
          </w:p>
        </w:tc>
        <w:tc>
          <w:tcPr>
            <w:vAlign w:val="center"/>
          </w:tcPr>
          <w:p w14:paraId="2AA0A4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</w:t>
            </w:r>
          </w:p>
        </w:tc>
      </w:tr>
    </w:tbl>
    <w:p w14:paraId="2D5BC945">
      <w:pPr>
        <w:pStyle w:val="3"/>
        <w:ind w:firstLine="420"/>
        <w:rPr>
          <w:lang w:val="en-US"/>
        </w:rPr>
      </w:pPr>
      <w:bookmarkStart w:id="34" w:name="住区指标概览"/>
      <w:bookmarkEnd w:id="34"/>
    </w:p>
    <w:p w14:paraId="39072C86">
      <w:pPr>
        <w:pStyle w:val="2"/>
      </w:pPr>
      <w:bookmarkStart w:id="35" w:name="_Toc12335"/>
      <w:r>
        <w:rPr>
          <w:rFonts w:hint="eastAsia"/>
        </w:rPr>
        <w:t>强制性</w:t>
      </w:r>
      <w:r>
        <w:t>设计指标</w:t>
      </w:r>
      <w:bookmarkEnd w:id="35"/>
    </w:p>
    <w:p w14:paraId="0FF414AF">
      <w:pPr>
        <w:pStyle w:val="4"/>
      </w:pPr>
      <w:bookmarkStart w:id="36" w:name="_Toc28943"/>
      <w:r>
        <w:rPr>
          <w:rFonts w:hint="eastAsia"/>
        </w:rPr>
        <w:t>平均迎风面积比</w:t>
      </w:r>
      <w:bookmarkEnd w:id="36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609245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B290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建筑名称</w:t>
            </w:r>
          </w:p>
        </w:tc>
        <w:tc>
          <w:tcPr>
            <w:shd w:val="clear" w:color="auto" w:fill="E6E6E6"/>
            <w:vAlign w:val="center"/>
          </w:tcPr>
          <w:p w14:paraId="51BCDE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迎风面积(㎡)</w:t>
            </w:r>
          </w:p>
        </w:tc>
        <w:tc>
          <w:tcPr>
            <w:shd w:val="clear" w:color="auto" w:fill="E6E6E6"/>
            <w:vAlign w:val="center"/>
          </w:tcPr>
          <w:p w14:paraId="68D2C6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最大可能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迎风面积(㎡)</w:t>
            </w:r>
          </w:p>
        </w:tc>
        <w:tc>
          <w:tcPr>
            <w:shd w:val="clear" w:color="auto" w:fill="E6E6E6"/>
            <w:vAlign w:val="center"/>
          </w:tcPr>
          <w:p w14:paraId="50822A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最大可能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迎风方向(°)</w:t>
            </w:r>
          </w:p>
        </w:tc>
        <w:tc>
          <w:tcPr>
            <w:shd w:val="clear" w:color="auto" w:fill="E6E6E6"/>
            <w:vAlign w:val="center"/>
          </w:tcPr>
          <w:p w14:paraId="11CEA4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迎风面积比</w:t>
            </w:r>
          </w:p>
        </w:tc>
      </w:tr>
      <w:tr w14:paraId="4FE30A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7F0A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平均迎风面积比</w:t>
            </w:r>
          </w:p>
        </w:tc>
        <w:tc>
          <w:tcPr>
            <w:gridSpan w:val="4"/>
            <w:vAlign w:val="center"/>
          </w:tcPr>
          <w:p w14:paraId="22736C2B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</w:tc>
      </w:tr>
      <w:tr w14:paraId="04BDEF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E5E88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4"/>
            <w:vAlign w:val="center"/>
          </w:tcPr>
          <w:p w14:paraId="508F8118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《城市居住区热环境设计标准》4.1.1条</w:t>
            </w:r>
          </w:p>
        </w:tc>
      </w:tr>
      <w:tr w14:paraId="1A150D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EF0B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4"/>
            <w:vAlign w:val="center"/>
          </w:tcPr>
          <w:p w14:paraId="111EB14F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平均迎风面积比≤0.85</w:t>
            </w:r>
          </w:p>
        </w:tc>
      </w:tr>
      <w:tr w14:paraId="15E74C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9AB5B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4"/>
            <w:vAlign w:val="center"/>
          </w:tcPr>
          <w:p w14:paraId="028A340B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满足</w:t>
            </w:r>
          </w:p>
        </w:tc>
      </w:tr>
    </w:tbl>
    <w:p w14:paraId="2BC1235B">
      <w:pPr>
        <w:pStyle w:val="3"/>
        <w:ind w:firstLine="420"/>
        <w:rPr>
          <w:lang w:val="en-US"/>
        </w:rPr>
      </w:pPr>
      <w:bookmarkStart w:id="37" w:name="平均迎风面积比"/>
      <w:bookmarkEnd w:id="37"/>
    </w:p>
    <w:p w14:paraId="746DCFE6">
      <w:pPr>
        <w:pStyle w:val="4"/>
      </w:pPr>
      <w:bookmarkStart w:id="38" w:name="_Toc6604"/>
      <w:r>
        <w:rPr>
          <w:rFonts w:hint="eastAsia"/>
        </w:rPr>
        <w:t>活动场地遮阳覆盖率</w:t>
      </w:r>
      <w:bookmarkEnd w:id="38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3EC996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0C88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场地</w:t>
            </w:r>
          </w:p>
        </w:tc>
        <w:tc>
          <w:tcPr>
            <w:shd w:val="clear" w:color="auto" w:fill="E6E6E6"/>
            <w:vAlign w:val="center"/>
          </w:tcPr>
          <w:p w14:paraId="644018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遮阳面积(㎡)</w:t>
            </w:r>
          </w:p>
        </w:tc>
        <w:tc>
          <w:tcPr>
            <w:shd w:val="clear" w:color="auto" w:fill="E6E6E6"/>
            <w:vAlign w:val="center"/>
          </w:tcPr>
          <w:p w14:paraId="129190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场地面积(㎡)</w:t>
            </w:r>
          </w:p>
        </w:tc>
        <w:tc>
          <w:tcPr>
            <w:shd w:val="clear" w:color="auto" w:fill="E6E6E6"/>
            <w:vAlign w:val="center"/>
          </w:tcPr>
          <w:p w14:paraId="1B2C8A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遮阳覆盖率(%)</w:t>
            </w:r>
          </w:p>
        </w:tc>
        <w:tc>
          <w:tcPr>
            <w:shd w:val="clear" w:color="auto" w:fill="E6E6E6"/>
            <w:vAlign w:val="center"/>
          </w:tcPr>
          <w:p w14:paraId="105E1D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覆盖率限值(%)</w:t>
            </w:r>
          </w:p>
        </w:tc>
      </w:tr>
      <w:tr w14:paraId="4E2385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7D3D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广场</w:t>
            </w:r>
          </w:p>
        </w:tc>
        <w:tc>
          <w:tcPr>
            <w:vAlign w:val="center"/>
          </w:tcPr>
          <w:p w14:paraId="7AF1987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2338.4</w:t>
            </w:r>
          </w:p>
        </w:tc>
        <w:tc>
          <w:tcPr>
            <w:vAlign w:val="center"/>
          </w:tcPr>
          <w:p w14:paraId="56F7A0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10358.4</w:t>
            </w:r>
          </w:p>
        </w:tc>
        <w:tc>
          <w:tcPr>
            <w:vAlign w:val="center"/>
          </w:tcPr>
          <w:p w14:paraId="4002375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vAlign w:val="center"/>
          </w:tcPr>
          <w:p w14:paraId="4E23B0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</w:tr>
      <w:tr w14:paraId="40C2B2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D2FE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人行道</w:t>
            </w:r>
          </w:p>
        </w:tc>
        <w:tc>
          <w:tcPr>
            <w:vAlign w:val="center"/>
          </w:tcPr>
          <w:p w14:paraId="3BADE43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591.0</w:t>
            </w:r>
          </w:p>
        </w:tc>
        <w:tc>
          <w:tcPr>
            <w:vAlign w:val="center"/>
          </w:tcPr>
          <w:p w14:paraId="3994BB0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2223.2</w:t>
            </w:r>
          </w:p>
        </w:tc>
        <w:tc>
          <w:tcPr>
            <w:vAlign w:val="center"/>
          </w:tcPr>
          <w:p w14:paraId="53960F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vAlign w:val="center"/>
          </w:tcPr>
          <w:p w14:paraId="2C5FB0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</w:tr>
      <w:tr w14:paraId="345546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38E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停车场</w:t>
            </w:r>
          </w:p>
        </w:tc>
        <w:tc>
          <w:tcPr>
            <w:vAlign w:val="center"/>
          </w:tcPr>
          <w:p w14:paraId="72F2DB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1183.8</w:t>
            </w:r>
          </w:p>
        </w:tc>
        <w:tc>
          <w:tcPr>
            <w:vAlign w:val="center"/>
          </w:tcPr>
          <w:p w14:paraId="5AC05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4224.3</w:t>
            </w:r>
          </w:p>
        </w:tc>
        <w:tc>
          <w:tcPr>
            <w:vAlign w:val="center"/>
          </w:tcPr>
          <w:p w14:paraId="2BE9D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vAlign w:val="center"/>
          </w:tcPr>
          <w:p w14:paraId="2D9900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14:paraId="0F0B51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048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依据</w:t>
            </w:r>
          </w:p>
        </w:tc>
        <w:tc>
          <w:tcPr>
            <w:gridSpan w:val="4"/>
            <w:vAlign w:val="center"/>
          </w:tcPr>
          <w:p w14:paraId="587424C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《城市居住区热环境设计标准》4.2.1条</w:t>
            </w:r>
          </w:p>
        </w:tc>
      </w:tr>
      <w:tr w14:paraId="65ABCB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07167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4"/>
            <w:vAlign w:val="center"/>
          </w:tcPr>
          <w:p w14:paraId="41A1A0F2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各类活动场地遮阳覆盖率不得低于标准要求限值</w:t>
            </w:r>
          </w:p>
        </w:tc>
      </w:tr>
      <w:tr w14:paraId="05765D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4F107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4"/>
            <w:vAlign w:val="center"/>
          </w:tcPr>
          <w:p w14:paraId="3F80EECF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满足</w:t>
            </w:r>
          </w:p>
        </w:tc>
      </w:tr>
    </w:tbl>
    <w:p w14:paraId="1C73FE01">
      <w:pPr>
        <w:pStyle w:val="3"/>
        <w:ind w:firstLine="420"/>
        <w:rPr>
          <w:lang w:val="en-US"/>
        </w:rPr>
      </w:pPr>
      <w:bookmarkStart w:id="39" w:name="活动场地遮阳覆盖率"/>
      <w:bookmarkEnd w:id="39"/>
    </w:p>
    <w:p w14:paraId="753234CE">
      <w:pPr>
        <w:pStyle w:val="2"/>
      </w:pPr>
      <w:bookmarkStart w:id="40" w:name="_Toc31914"/>
      <w:r>
        <w:rPr>
          <w:rFonts w:hint="eastAsia"/>
        </w:rPr>
        <w:t>规定性设计指标</w:t>
      </w:r>
      <w:bookmarkEnd w:id="40"/>
    </w:p>
    <w:p w14:paraId="5EE5C22F">
      <w:pPr>
        <w:pStyle w:val="4"/>
      </w:pPr>
      <w:bookmarkStart w:id="41" w:name="_Toc7998"/>
      <w:r>
        <w:rPr>
          <w:rFonts w:hint="eastAsia"/>
        </w:rPr>
        <w:t>底层通风架空率</w:t>
      </w:r>
      <w:bookmarkEnd w:id="41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2EF7E6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6CA0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建筑名称</w:t>
            </w:r>
          </w:p>
        </w:tc>
        <w:tc>
          <w:tcPr>
            <w:shd w:val="clear" w:color="auto" w:fill="E6E6E6"/>
            <w:vAlign w:val="center"/>
          </w:tcPr>
          <w:p w14:paraId="060F74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底层架空面积(㎡)</w:t>
            </w:r>
          </w:p>
        </w:tc>
        <w:tc>
          <w:tcPr>
            <w:shd w:val="clear" w:color="auto" w:fill="E6E6E6"/>
            <w:vAlign w:val="center"/>
          </w:tcPr>
          <w:p w14:paraId="5EBAE4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基底面积(㎡)</w:t>
            </w:r>
          </w:p>
        </w:tc>
        <w:tc>
          <w:tcPr>
            <w:shd w:val="clear" w:color="auto" w:fill="E6E6E6"/>
            <w:vAlign w:val="center"/>
          </w:tcPr>
          <w:p w14:paraId="638D6F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迎风面宽度(m)</w:t>
            </w:r>
          </w:p>
        </w:tc>
        <w:tc>
          <w:tcPr>
            <w:shd w:val="clear" w:color="auto" w:fill="E6E6E6"/>
            <w:vAlign w:val="center"/>
          </w:tcPr>
          <w:p w14:paraId="375358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底层通风架空率(%)</w:t>
            </w:r>
          </w:p>
        </w:tc>
      </w:tr>
      <w:tr w14:paraId="0DDBDD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B8B921"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2CAE917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3524.7</w:t>
            </w:r>
          </w:p>
        </w:tc>
        <w:tc>
          <w:tcPr>
            <w:vAlign w:val="center"/>
          </w:tcPr>
          <w:p w14:paraId="597929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6502.0</w:t>
            </w:r>
          </w:p>
        </w:tc>
        <w:tc>
          <w:tcPr>
            <w:vAlign w:val="center"/>
          </w:tcPr>
          <w:p w14:paraId="6F5D7D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171.8</w:t>
            </w:r>
          </w:p>
        </w:tc>
        <w:tc>
          <w:tcPr>
            <w:vAlign w:val="center"/>
          </w:tcPr>
          <w:p w14:paraId="53DD9AA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</w:t>
            </w:r>
          </w:p>
        </w:tc>
      </w:tr>
      <w:tr w14:paraId="0C9E45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79B2A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4"/>
            <w:vAlign w:val="center"/>
          </w:tcPr>
          <w:p w14:paraId="20EC7C9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《城市居住区热环境设计标准》4.1.4条</w:t>
            </w:r>
          </w:p>
        </w:tc>
      </w:tr>
      <w:tr w14:paraId="48BB92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5E06E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4"/>
            <w:vAlign w:val="center"/>
          </w:tcPr>
          <w:p w14:paraId="3D65F11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III、IV、V气候区，夏季主导风向迎风面积宽度超过80m时，底层通风架空率不应小于10%</w:t>
            </w:r>
          </w:p>
        </w:tc>
      </w:tr>
      <w:tr w14:paraId="231567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92C7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4"/>
            <w:vAlign w:val="center"/>
          </w:tcPr>
          <w:p w14:paraId="1874CF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</w:tbl>
    <w:p w14:paraId="646290D4">
      <w:pPr>
        <w:pStyle w:val="3"/>
        <w:ind w:firstLine="420"/>
        <w:rPr>
          <w:lang w:val="en-US"/>
        </w:rPr>
      </w:pPr>
      <w:bookmarkStart w:id="42" w:name="底层通风架空率"/>
      <w:bookmarkEnd w:id="42"/>
    </w:p>
    <w:p w14:paraId="2703E775">
      <w:pPr>
        <w:pStyle w:val="4"/>
      </w:pPr>
      <w:bookmarkStart w:id="43" w:name="_Toc28328"/>
      <w:r>
        <w:rPr>
          <w:rFonts w:hint="eastAsia"/>
        </w:rPr>
        <w:t>绿化遮阳体叶面积指数</w:t>
      </w:r>
      <w:bookmarkEnd w:id="43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0"/>
        <w:gridCol w:w="3110"/>
      </w:tblGrid>
      <w:tr w14:paraId="0D4712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70C5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遮阳体类型</w:t>
            </w:r>
          </w:p>
        </w:tc>
        <w:tc>
          <w:tcPr>
            <w:shd w:val="clear" w:color="auto" w:fill="E6E6E6"/>
            <w:vAlign w:val="center"/>
          </w:tcPr>
          <w:p w14:paraId="1EDB52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叶面积指数</w:t>
            </w:r>
          </w:p>
        </w:tc>
        <w:tc>
          <w:tcPr>
            <w:shd w:val="clear" w:color="auto" w:fill="E6E6E6"/>
            <w:vAlign w:val="center"/>
          </w:tcPr>
          <w:p w14:paraId="7A56AC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面积(㎡)</w:t>
            </w:r>
          </w:p>
        </w:tc>
      </w:tr>
      <w:tr w14:paraId="5B520B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C5E55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乔木</w:t>
            </w:r>
          </w:p>
        </w:tc>
        <w:tc>
          <w:tcPr>
            <w:vAlign w:val="center"/>
          </w:tcPr>
          <w:p w14:paraId="47B04B9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LAI &gt;= 3</w:t>
            </w:r>
          </w:p>
        </w:tc>
        <w:tc>
          <w:tcPr>
            <w:vAlign w:val="center"/>
          </w:tcPr>
          <w:p w14:paraId="561E43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801</w:t>
            </w:r>
          </w:p>
        </w:tc>
      </w:tr>
      <w:tr w14:paraId="61841B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A53BC4B"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4E2057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LAI &lt; 3</w:t>
            </w:r>
          </w:p>
        </w:tc>
        <w:tc>
          <w:tcPr>
            <w:vAlign w:val="center"/>
          </w:tcPr>
          <w:p w14:paraId="069399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7503</w:t>
            </w:r>
          </w:p>
        </w:tc>
      </w:tr>
      <w:tr w14:paraId="483A3D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1FBFA5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爬藤棚架</w:t>
            </w:r>
          </w:p>
        </w:tc>
        <w:tc>
          <w:tcPr>
            <w:vAlign w:val="center"/>
          </w:tcPr>
          <w:p w14:paraId="4AF548A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LAI &gt;= 3</w:t>
            </w:r>
          </w:p>
        </w:tc>
        <w:tc>
          <w:tcPr>
            <w:vAlign w:val="center"/>
          </w:tcPr>
          <w:p w14:paraId="570FFD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5148</w:t>
            </w:r>
          </w:p>
        </w:tc>
      </w:tr>
      <w:tr w14:paraId="4195C4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59B23AF"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B4787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LAI &lt; 3</w:t>
            </w:r>
          </w:p>
        </w:tc>
        <w:tc>
          <w:tcPr>
            <w:vAlign w:val="center"/>
          </w:tcPr>
          <w:p w14:paraId="3473C19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419</w:t>
            </w:r>
          </w:p>
        </w:tc>
      </w:tr>
      <w:tr w14:paraId="3DF331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E92A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2"/>
            <w:vAlign w:val="center"/>
          </w:tcPr>
          <w:p w14:paraId="6ACA2E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《城市居住区热环境设计标准》4.2.3条</w:t>
            </w:r>
          </w:p>
        </w:tc>
      </w:tr>
      <w:tr w14:paraId="40664D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3FCF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2"/>
            <w:vAlign w:val="center"/>
          </w:tcPr>
          <w:p w14:paraId="28350FA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绿化遮阳体叶面积指数不应小于3.0</w:t>
            </w:r>
          </w:p>
        </w:tc>
      </w:tr>
      <w:tr w14:paraId="1CA6B3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EA10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2"/>
            <w:vAlign w:val="center"/>
          </w:tcPr>
          <w:p w14:paraId="4EA66A3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</w:tbl>
    <w:p w14:paraId="6DE0A0F3">
      <w:pPr>
        <w:pStyle w:val="3"/>
        <w:ind w:firstLine="420"/>
        <w:rPr>
          <w:lang w:val="en-US"/>
        </w:rPr>
      </w:pPr>
      <w:bookmarkStart w:id="44" w:name="绿化遮阳体叶面积指数"/>
      <w:bookmarkEnd w:id="44"/>
    </w:p>
    <w:p w14:paraId="53260A39">
      <w:pPr>
        <w:pStyle w:val="4"/>
      </w:pPr>
      <w:bookmarkStart w:id="45" w:name="_Toc20716"/>
      <w:r>
        <w:rPr>
          <w:rFonts w:hint="eastAsia"/>
        </w:rPr>
        <w:t>渗透蒸发指标</w:t>
      </w:r>
      <w:bookmarkEnd w:id="45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70A854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6D14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</w:t>
            </w:r>
          </w:p>
        </w:tc>
        <w:tc>
          <w:tcPr>
            <w:shd w:val="clear" w:color="auto" w:fill="E6E6E6"/>
            <w:vAlign w:val="center"/>
          </w:tcPr>
          <w:p w14:paraId="3A4382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 w14:paraId="5EAAFA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3FD7F5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地面透水系数k(mm/s)</w:t>
            </w:r>
          </w:p>
        </w:tc>
        <w:tc>
          <w:tcPr>
            <w:shd w:val="clear" w:color="auto" w:fill="E6E6E6"/>
            <w:vAlign w:val="center"/>
          </w:tcPr>
          <w:p w14:paraId="4FCE04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蒸发量m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(kg/(㎡·d))</w:t>
            </w:r>
          </w:p>
        </w:tc>
      </w:tr>
      <w:tr w14:paraId="6424C2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F1E8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广场</w:t>
            </w:r>
          </w:p>
        </w:tc>
        <w:tc>
          <w:tcPr>
            <w:vAlign w:val="center"/>
          </w:tcPr>
          <w:p w14:paraId="415A13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10358</w:t>
            </w:r>
          </w:p>
        </w:tc>
        <w:tc>
          <w:tcPr>
            <w:vAlign w:val="center"/>
          </w:tcPr>
          <w:p w14:paraId="3724949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0.616</w:t>
            </w:r>
          </w:p>
        </w:tc>
        <w:tc>
          <w:tcPr>
            <w:vAlign w:val="center"/>
          </w:tcPr>
          <w:p w14:paraId="2C9EBEC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3.00</w:t>
            </w:r>
          </w:p>
        </w:tc>
        <w:tc>
          <w:tcPr>
            <w:vAlign w:val="center"/>
          </w:tcPr>
          <w:p w14:paraId="6288C42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1.69</w:t>
            </w:r>
          </w:p>
        </w:tc>
      </w:tr>
      <w:tr w14:paraId="7FBCB8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44053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人行道</w:t>
            </w:r>
          </w:p>
        </w:tc>
        <w:tc>
          <w:tcPr>
            <w:vAlign w:val="center"/>
          </w:tcPr>
          <w:p w14:paraId="2E7FBEF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2223</w:t>
            </w:r>
          </w:p>
        </w:tc>
        <w:tc>
          <w:tcPr>
            <w:vAlign w:val="center"/>
          </w:tcPr>
          <w:p w14:paraId="2D5A69A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0.132</w:t>
            </w:r>
          </w:p>
        </w:tc>
        <w:tc>
          <w:tcPr>
            <w:vAlign w:val="center"/>
          </w:tcPr>
          <w:p w14:paraId="2543E7D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3.00</w:t>
            </w:r>
          </w:p>
        </w:tc>
        <w:tc>
          <w:tcPr>
            <w:vAlign w:val="center"/>
          </w:tcPr>
          <w:p w14:paraId="7A1ECC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1.69</w:t>
            </w:r>
          </w:p>
        </w:tc>
      </w:tr>
      <w:tr w14:paraId="2D0311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273B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停车场</w:t>
            </w:r>
          </w:p>
        </w:tc>
        <w:tc>
          <w:tcPr>
            <w:vAlign w:val="center"/>
          </w:tcPr>
          <w:p w14:paraId="2D716EC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4224</w:t>
            </w:r>
          </w:p>
        </w:tc>
        <w:tc>
          <w:tcPr>
            <w:vAlign w:val="center"/>
          </w:tcPr>
          <w:p w14:paraId="5802A71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0.251</w:t>
            </w:r>
          </w:p>
        </w:tc>
        <w:tc>
          <w:tcPr>
            <w:vAlign w:val="center"/>
          </w:tcPr>
          <w:p w14:paraId="695305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3.00</w:t>
            </w:r>
          </w:p>
        </w:tc>
        <w:tc>
          <w:tcPr>
            <w:vAlign w:val="center"/>
          </w:tcPr>
          <w:p w14:paraId="4291631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1.69</w:t>
            </w:r>
          </w:p>
        </w:tc>
      </w:tr>
      <w:tr w14:paraId="34D0CE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875BE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</w:t>
            </w:r>
          </w:p>
        </w:tc>
        <w:tc>
          <w:tcPr>
            <w:vAlign w:val="center"/>
          </w:tcPr>
          <w:p w14:paraId="239452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16806</w:t>
            </w:r>
          </w:p>
        </w:tc>
        <w:tc>
          <w:tcPr>
            <w:vAlign w:val="center"/>
          </w:tcPr>
          <w:p w14:paraId="3F46F1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</w:t>
            </w:r>
          </w:p>
        </w:tc>
        <w:tc>
          <w:tcPr>
            <w:vAlign w:val="center"/>
          </w:tcPr>
          <w:p w14:paraId="71D47EE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3.00</w:t>
            </w:r>
          </w:p>
        </w:tc>
        <w:tc>
          <w:tcPr>
            <w:vAlign w:val="center"/>
          </w:tcPr>
          <w:p w14:paraId="5EA9A2F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1.69</w:t>
            </w:r>
          </w:p>
        </w:tc>
      </w:tr>
    </w:tbl>
    <w:p w14:paraId="6014B6C1">
      <w:pPr>
        <w:pStyle w:val="3"/>
        <w:ind w:firstLine="420"/>
        <w:rPr>
          <w:lang w:val="en-US"/>
        </w:rPr>
      </w:pPr>
      <w:bookmarkStart w:id="46" w:name="渗透蒸发指标"/>
      <w:bookmarkEnd w:id="46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0"/>
        <w:gridCol w:w="3110"/>
        <w:gridCol w:w="1"/>
      </w:tblGrid>
      <w:tr w14:paraId="61F500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6C8A88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</w:t>
            </w:r>
          </w:p>
        </w:tc>
        <w:tc>
          <w:tcPr>
            <w:shd w:val="clear" w:color="auto" w:fill="E6E6E6"/>
            <w:vAlign w:val="center"/>
          </w:tcPr>
          <w:p w14:paraId="6A0C43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渗透面积比率(%)</w:t>
            </w:r>
          </w:p>
        </w:tc>
        <w:tc>
          <w:tcPr>
            <w:shd w:val="clear" w:color="auto" w:fill="E6E6E6"/>
            <w:vAlign w:val="center"/>
          </w:tcPr>
          <w:p w14:paraId="0463C1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限值(%)</w:t>
            </w:r>
          </w:p>
        </w:tc>
      </w:tr>
      <w:tr w14:paraId="6C5C3A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40D624F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广场</w:t>
            </w:r>
          </w:p>
        </w:tc>
        <w:tc>
          <w:tcPr>
            <w:vAlign w:val="center"/>
          </w:tcPr>
          <w:p w14:paraId="497D6A9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3BBBDA5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</w:tr>
      <w:tr w14:paraId="763475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51CE5ED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人行道</w:t>
            </w:r>
          </w:p>
        </w:tc>
        <w:tc>
          <w:tcPr>
            <w:vAlign w:val="center"/>
          </w:tcPr>
          <w:p w14:paraId="120BBB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5CF0A45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</w:tr>
      <w:tr w14:paraId="6D5D81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053F8D5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停车场</w:t>
            </w:r>
          </w:p>
        </w:tc>
        <w:tc>
          <w:tcPr>
            <w:vAlign w:val="center"/>
          </w:tcPr>
          <w:p w14:paraId="6DEE47D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vAlign w:val="center"/>
          </w:tcPr>
          <w:p w14:paraId="4914565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</w:tr>
      <w:tr w14:paraId="18A163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 w14:paraId="76FA65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渗透与蒸发指标</w:t>
            </w:r>
          </w:p>
        </w:tc>
      </w:tr>
      <w:tr w14:paraId="6E5AFA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354B0C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指标</w:t>
            </w:r>
          </w:p>
        </w:tc>
        <w:tc>
          <w:tcPr>
            <w:shd w:val="clear" w:color="auto" w:fill="E6E6E6"/>
            <w:vAlign w:val="center"/>
          </w:tcPr>
          <w:p w14:paraId="61E03A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值</w:t>
            </w:r>
          </w:p>
        </w:tc>
        <w:tc>
          <w:tcPr>
            <w:shd w:val="clear" w:color="auto" w:fill="E6E6E6"/>
            <w:vAlign w:val="center"/>
          </w:tcPr>
          <w:p w14:paraId="1546E5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限值</w:t>
            </w:r>
          </w:p>
        </w:tc>
      </w:tr>
      <w:tr w14:paraId="0A6756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6177D7D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地面透水系数k(mm/s)</w:t>
            </w:r>
          </w:p>
        </w:tc>
        <w:tc>
          <w:tcPr>
            <w:vAlign w:val="center"/>
          </w:tcPr>
          <w:p w14:paraId="23D6D26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3.00</w:t>
            </w:r>
          </w:p>
        </w:tc>
        <w:tc>
          <w:tcPr>
            <w:vAlign w:val="center"/>
          </w:tcPr>
          <w:p w14:paraId="5D30895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14:paraId="6C23A8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65390CF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蒸发量m(kg/(㎡·d))</w:t>
            </w:r>
          </w:p>
        </w:tc>
        <w:tc>
          <w:tcPr>
            <w:vAlign w:val="center"/>
          </w:tcPr>
          <w:p w14:paraId="5C7F10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1.69</w:t>
            </w:r>
          </w:p>
        </w:tc>
        <w:tc>
          <w:tcPr>
            <w:vAlign w:val="center"/>
          </w:tcPr>
          <w:p w14:paraId="2B6B0C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</w:t>
            </w:r>
          </w:p>
        </w:tc>
      </w:tr>
      <w:tr w14:paraId="1CE8AA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08EB382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2"/>
            <w:vAlign w:val="center"/>
          </w:tcPr>
          <w:p w14:paraId="67A4817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《城市居住区热环境设计标准》4.3.1条</w:t>
            </w:r>
          </w:p>
        </w:tc>
      </w:tr>
      <w:tr w14:paraId="53979E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671B53E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2"/>
            <w:vAlign w:val="center"/>
          </w:tcPr>
          <w:p w14:paraId="6CF8145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渗透面积比率、透水系数及蒸发量不应低于标准规定限值</w:t>
            </w:r>
          </w:p>
        </w:tc>
      </w:tr>
      <w:tr w14:paraId="4A9ADD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38C0C6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2"/>
            <w:vAlign w:val="center"/>
          </w:tcPr>
          <w:p w14:paraId="5622720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</w:tbl>
    <w:p w14:paraId="361988CA">
      <w:pPr>
        <w:pStyle w:val="3"/>
        <w:ind w:firstLine="420"/>
        <w:rPr>
          <w:lang w:val="en-US"/>
        </w:rPr>
      </w:pPr>
    </w:p>
    <w:p w14:paraId="224A62D3">
      <w:pPr>
        <w:pStyle w:val="4"/>
      </w:pPr>
      <w:bookmarkStart w:id="47" w:name="_Toc5833"/>
      <w:r>
        <w:rPr>
          <w:rFonts w:hint="eastAsia"/>
        </w:rPr>
        <w:t>屋面绿化率</w:t>
      </w:r>
      <w:bookmarkEnd w:id="47"/>
    </w:p>
    <w:tbl>
      <w:tblPr>
        <w:tblStyle w:val="20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11C86C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390F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建筑名称</w:t>
            </w:r>
          </w:p>
        </w:tc>
        <w:tc>
          <w:tcPr>
            <w:shd w:val="clear" w:color="auto" w:fill="E6E6E6"/>
            <w:vAlign w:val="center"/>
          </w:tcPr>
          <w:p w14:paraId="212EDF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屋面轮廓面积(㎡)</w:t>
            </w:r>
          </w:p>
        </w:tc>
        <w:tc>
          <w:tcPr>
            <w:shd w:val="clear" w:color="auto" w:fill="E6E6E6"/>
            <w:vAlign w:val="center"/>
          </w:tcPr>
          <w:p w14:paraId="3BDAEC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屋顶绿化面积(㎡)</w:t>
            </w:r>
          </w:p>
        </w:tc>
        <w:tc>
          <w:tcPr>
            <w:shd w:val="clear" w:color="auto" w:fill="E6E6E6"/>
            <w:vAlign w:val="center"/>
          </w:tcPr>
          <w:p w14:paraId="66BE44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可绿化屋面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 w14:paraId="6A6D32F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屋面绿化率(%)</w:t>
            </w:r>
          </w:p>
        </w:tc>
      </w:tr>
      <w:tr w14:paraId="19E5C1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A1545A"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7B23AD2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6502.0</w:t>
            </w:r>
          </w:p>
        </w:tc>
        <w:tc>
          <w:tcPr>
            <w:vAlign w:val="center"/>
          </w:tcPr>
          <w:p w14:paraId="7616008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1626.2</w:t>
            </w:r>
          </w:p>
        </w:tc>
        <w:tc>
          <w:tcPr>
            <w:vAlign w:val="center"/>
          </w:tcPr>
          <w:p w14:paraId="58417DA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2347.4</w:t>
            </w:r>
          </w:p>
        </w:tc>
        <w:tc>
          <w:tcPr>
            <w:vAlign w:val="center"/>
          </w:tcPr>
          <w:p w14:paraId="57B8F9D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</w:t>
            </w:r>
          </w:p>
        </w:tc>
      </w:tr>
      <w:tr w14:paraId="50F524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8C514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</w:t>
            </w:r>
          </w:p>
        </w:tc>
        <w:tc>
          <w:tcPr>
            <w:vAlign w:val="center"/>
          </w:tcPr>
          <w:p w14:paraId="29CF714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6502.0</w:t>
            </w:r>
          </w:p>
        </w:tc>
        <w:tc>
          <w:tcPr>
            <w:vAlign w:val="center"/>
          </w:tcPr>
          <w:p w14:paraId="1A5E71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1626.2</w:t>
            </w:r>
          </w:p>
        </w:tc>
        <w:tc>
          <w:tcPr>
            <w:vAlign w:val="center"/>
          </w:tcPr>
          <w:p w14:paraId="4FB6071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2347.4</w:t>
            </w:r>
          </w:p>
        </w:tc>
        <w:tc>
          <w:tcPr>
            <w:vAlign w:val="center"/>
          </w:tcPr>
          <w:p w14:paraId="0080F66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69</w:t>
            </w:r>
          </w:p>
        </w:tc>
      </w:tr>
      <w:tr w14:paraId="17B837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9E68A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依据</w:t>
            </w:r>
          </w:p>
        </w:tc>
        <w:tc>
          <w:tcPr>
            <w:gridSpan w:val="4"/>
            <w:vAlign w:val="center"/>
          </w:tcPr>
          <w:p w14:paraId="79C10B9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《城市居住区热环境设计标准》4.4.2条</w:t>
            </w:r>
          </w:p>
        </w:tc>
      </w:tr>
      <w:tr w14:paraId="6B615B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1A066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标准要求</w:t>
            </w:r>
          </w:p>
        </w:tc>
        <w:tc>
          <w:tcPr>
            <w:gridSpan w:val="4"/>
            <w:vAlign w:val="center"/>
          </w:tcPr>
          <w:p w14:paraId="577777A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建筑屋面的绿化面积不应低于可绿化屋面面积的50%</w:t>
            </w:r>
          </w:p>
        </w:tc>
      </w:tr>
      <w:tr w14:paraId="6F53D0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DCD88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结论</w:t>
            </w:r>
          </w:p>
        </w:tc>
        <w:tc>
          <w:tcPr>
            <w:gridSpan w:val="4"/>
            <w:vAlign w:val="center"/>
          </w:tcPr>
          <w:p w14:paraId="02FD13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满足</w:t>
            </w:r>
          </w:p>
        </w:tc>
      </w:tr>
    </w:tbl>
    <w:p w14:paraId="6EBD7404">
      <w:pPr>
        <w:pStyle w:val="3"/>
        <w:ind w:firstLine="420"/>
        <w:rPr>
          <w:lang w:val="en-US"/>
        </w:rPr>
      </w:pPr>
      <w:bookmarkStart w:id="48" w:name="屋面绿化率"/>
      <w:bookmarkEnd w:id="48"/>
    </w:p>
    <w:p w14:paraId="57F6888F">
      <w:pPr>
        <w:pStyle w:val="2"/>
      </w:pPr>
      <w:bookmarkStart w:id="49" w:name="_Toc9379"/>
      <w:r>
        <w:rPr>
          <w:rFonts w:hint="eastAsia"/>
        </w:rPr>
        <w:t>结论</w:t>
      </w:r>
      <w:bookmarkEnd w:id="49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800"/>
        <w:gridCol w:w="1866"/>
        <w:gridCol w:w="2800"/>
      </w:tblGrid>
      <w:tr w14:paraId="531752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shd w:val="clear" w:color="auto" w:fill="E6E6E6"/>
            <w:vAlign w:val="center"/>
          </w:tcPr>
          <w:p w14:paraId="6E926B6E">
            <w:pPr>
              <w:jc w:val="center"/>
            </w:pPr>
            <w:bookmarkStart w:id="50" w:name="结论"/>
            <w:bookmarkEnd w:id="50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24C26CA6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B346651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3A853099">
            <w:pPr>
              <w:jc w:val="center"/>
            </w:pPr>
            <w:r>
              <w:t>备注</w:t>
            </w:r>
          </w:p>
        </w:tc>
      </w:tr>
      <w:tr w14:paraId="3BD87C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 w14:paraId="7A9B48D1"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14:paraId="7D41072B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14:paraId="0FE3D039">
            <w:pPr>
              <w:rPr>
                <w:b/>
              </w:rPr>
            </w:pPr>
            <w:bookmarkStart w:id="51" w:name="平均迎风面积比结论"/>
            <w:r>
              <w:rPr>
                <w:rFonts w:hint="eastAsia"/>
                <w:b/>
              </w:rPr>
              <w:t>满足</w:t>
            </w:r>
            <w:bookmarkEnd w:id="51"/>
          </w:p>
        </w:tc>
        <w:tc>
          <w:tcPr>
            <w:tcW w:w="2800" w:type="dxa"/>
            <w:vMerge w:val="restart"/>
            <w:vAlign w:val="center"/>
          </w:tcPr>
          <w:p w14:paraId="5472E992">
            <w:r>
              <w:rPr>
                <w:b/>
              </w:rPr>
              <w:t>强制条文，必须满足</w:t>
            </w:r>
          </w:p>
        </w:tc>
      </w:tr>
      <w:tr w14:paraId="48E5ED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 w14:paraId="5FDEF069"/>
        </w:tc>
        <w:tc>
          <w:tcPr>
            <w:tcW w:w="2800" w:type="dxa"/>
            <w:vAlign w:val="center"/>
          </w:tcPr>
          <w:p w14:paraId="198C88B4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14:paraId="315ECD11">
            <w:pPr>
              <w:rPr>
                <w:b/>
              </w:rPr>
            </w:pPr>
            <w:bookmarkStart w:id="52" w:name="活动场地遮阳覆盖率结论"/>
            <w:r>
              <w:rPr>
                <w:rFonts w:hint="eastAsia"/>
                <w:b/>
              </w:rPr>
              <w:t>满足</w:t>
            </w:r>
            <w:bookmarkEnd w:id="52"/>
          </w:p>
        </w:tc>
        <w:tc>
          <w:tcPr>
            <w:tcW w:w="2800" w:type="dxa"/>
            <w:vMerge w:val="continue"/>
            <w:vAlign w:val="center"/>
          </w:tcPr>
          <w:p w14:paraId="1BE651B0"/>
        </w:tc>
      </w:tr>
      <w:tr w14:paraId="28E0F1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 w14:paraId="33888848">
            <w:r>
              <w:t>规定性设计</w:t>
            </w:r>
          </w:p>
        </w:tc>
        <w:tc>
          <w:tcPr>
            <w:tcW w:w="2800" w:type="dxa"/>
            <w:vAlign w:val="center"/>
          </w:tcPr>
          <w:p w14:paraId="2793ADC0">
            <w:r>
              <w:t>底层通风架空率</w:t>
            </w:r>
          </w:p>
        </w:tc>
        <w:tc>
          <w:tcPr>
            <w:tcW w:w="1866" w:type="dxa"/>
            <w:vAlign w:val="center"/>
          </w:tcPr>
          <w:p w14:paraId="23C9F5A4">
            <w:bookmarkStart w:id="53" w:name="底层通风架空率结论"/>
            <w:r>
              <w:t>满足</w:t>
            </w:r>
            <w:bookmarkEnd w:id="53"/>
          </w:p>
        </w:tc>
        <w:tc>
          <w:tcPr>
            <w:tcW w:w="2800" w:type="dxa"/>
            <w:vMerge w:val="restart"/>
            <w:vAlign w:val="center"/>
          </w:tcPr>
          <w:p w14:paraId="4BCB569D">
            <w:r>
              <w:t>不满足任意一条时，进行评价性设计</w:t>
            </w:r>
          </w:p>
        </w:tc>
      </w:tr>
      <w:tr w14:paraId="3BE3A7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 w14:paraId="48BE27A3"/>
        </w:tc>
        <w:tc>
          <w:tcPr>
            <w:tcW w:w="2800" w:type="dxa"/>
            <w:vAlign w:val="center"/>
          </w:tcPr>
          <w:p w14:paraId="4F6F2C82"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 w14:paraId="34F50289">
            <w:bookmarkStart w:id="54" w:name="绿化遮阳体叶面积指数结论"/>
            <w:r>
              <w:t>满足</w:t>
            </w:r>
            <w:bookmarkEnd w:id="54"/>
          </w:p>
        </w:tc>
        <w:tc>
          <w:tcPr>
            <w:tcW w:w="2800" w:type="dxa"/>
            <w:vMerge w:val="continue"/>
            <w:vAlign w:val="center"/>
          </w:tcPr>
          <w:p w14:paraId="4405B7CD"/>
        </w:tc>
      </w:tr>
      <w:tr w14:paraId="1911AE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 w14:paraId="1AE84014"/>
        </w:tc>
        <w:tc>
          <w:tcPr>
            <w:tcW w:w="2800" w:type="dxa"/>
            <w:vAlign w:val="center"/>
          </w:tcPr>
          <w:p w14:paraId="2105E5E3">
            <w:r>
              <w:t>渗透蒸发指标</w:t>
            </w:r>
          </w:p>
        </w:tc>
        <w:tc>
          <w:tcPr>
            <w:tcW w:w="1866" w:type="dxa"/>
            <w:vAlign w:val="center"/>
          </w:tcPr>
          <w:p w14:paraId="3B0D801E">
            <w:bookmarkStart w:id="55" w:name="渗透蒸发指标结论"/>
            <w:r>
              <w:t>满足</w:t>
            </w:r>
            <w:bookmarkEnd w:id="55"/>
          </w:p>
        </w:tc>
        <w:tc>
          <w:tcPr>
            <w:tcW w:w="2800" w:type="dxa"/>
            <w:vMerge w:val="continue"/>
            <w:vAlign w:val="center"/>
          </w:tcPr>
          <w:p w14:paraId="5445C0E0"/>
        </w:tc>
      </w:tr>
      <w:tr w14:paraId="4E5626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 w14:paraId="006BF7AF"/>
        </w:tc>
        <w:tc>
          <w:tcPr>
            <w:tcW w:w="2800" w:type="dxa"/>
            <w:vAlign w:val="center"/>
          </w:tcPr>
          <w:p w14:paraId="676163D2">
            <w:r>
              <w:t>屋面绿化率</w:t>
            </w:r>
          </w:p>
        </w:tc>
        <w:tc>
          <w:tcPr>
            <w:tcW w:w="1866" w:type="dxa"/>
            <w:vAlign w:val="center"/>
          </w:tcPr>
          <w:p w14:paraId="6C7FDDDD">
            <w:bookmarkStart w:id="56" w:name="屋面绿化率结论"/>
            <w:r>
              <w:t>满足</w:t>
            </w:r>
            <w:bookmarkEnd w:id="56"/>
          </w:p>
        </w:tc>
        <w:tc>
          <w:tcPr>
            <w:tcW w:w="2800" w:type="dxa"/>
            <w:vMerge w:val="continue"/>
            <w:vAlign w:val="center"/>
          </w:tcPr>
          <w:p w14:paraId="6C331CC0"/>
        </w:tc>
      </w:tr>
      <w:tr w14:paraId="4C5F20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7" w:type="dxa"/>
            <w:gridSpan w:val="2"/>
            <w:shd w:val="clear" w:color="auto" w:fill="E6E6E6"/>
            <w:vAlign w:val="center"/>
          </w:tcPr>
          <w:p w14:paraId="21D2AD9E"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 w14:paraId="66E4D281">
            <w:pPr>
              <w:rPr>
                <w:b/>
              </w:rPr>
            </w:pPr>
            <w:bookmarkStart w:id="57" w:name="总结论"/>
            <w:r>
              <w:rPr>
                <w:rFonts w:hint="eastAsia"/>
                <w:b/>
              </w:rPr>
              <w:t>满足</w:t>
            </w:r>
            <w:bookmarkEnd w:id="57"/>
          </w:p>
        </w:tc>
      </w:tr>
    </w:tbl>
    <w:p w14:paraId="24167972">
      <w:pPr>
        <w:pStyle w:val="3"/>
        <w:ind w:firstLine="420"/>
        <w:rPr>
          <w:lang w:val="en-US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30560">
    <w:pPr>
      <w:pStyle w:val="14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separate"/>
    </w:r>
    <w:r>
      <w:rPr>
        <w:rStyle w:val="24"/>
      </w:rPr>
      <w:t>1</w:t>
    </w:r>
    <w:r>
      <w:rPr>
        <w:rStyle w:val="24"/>
      </w:rPr>
      <w:fldChar w:fldCharType="end"/>
    </w:r>
  </w:p>
  <w:p w14:paraId="3FAE1C66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46024">
    <w:pPr>
      <w:pStyle w:val="14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end"/>
    </w:r>
  </w:p>
  <w:p w14:paraId="3F0472E0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DA9FB0">
    <w:pPr>
      <w:pStyle w:val="15"/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8E4ABC"/>
    <w:rsid w:val="0000545C"/>
    <w:rsid w:val="0001409C"/>
    <w:rsid w:val="00026B3F"/>
    <w:rsid w:val="00037A4C"/>
    <w:rsid w:val="00051EA5"/>
    <w:rsid w:val="0005749E"/>
    <w:rsid w:val="000A30EF"/>
    <w:rsid w:val="000B10AF"/>
    <w:rsid w:val="000B2169"/>
    <w:rsid w:val="000B2FE8"/>
    <w:rsid w:val="000C5EBC"/>
    <w:rsid w:val="000D23A3"/>
    <w:rsid w:val="000E6711"/>
    <w:rsid w:val="000F23AD"/>
    <w:rsid w:val="000F6615"/>
    <w:rsid w:val="000F7EF2"/>
    <w:rsid w:val="001137ED"/>
    <w:rsid w:val="00116794"/>
    <w:rsid w:val="00117637"/>
    <w:rsid w:val="00122AE1"/>
    <w:rsid w:val="00125196"/>
    <w:rsid w:val="00135FAF"/>
    <w:rsid w:val="0014776A"/>
    <w:rsid w:val="001541C5"/>
    <w:rsid w:val="0016280A"/>
    <w:rsid w:val="001745BF"/>
    <w:rsid w:val="001828F2"/>
    <w:rsid w:val="001B3169"/>
    <w:rsid w:val="001B7C87"/>
    <w:rsid w:val="001C59ED"/>
    <w:rsid w:val="001D4B47"/>
    <w:rsid w:val="001D6C1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56900"/>
    <w:rsid w:val="00272BDC"/>
    <w:rsid w:val="00285189"/>
    <w:rsid w:val="002A55EA"/>
    <w:rsid w:val="002B2BB0"/>
    <w:rsid w:val="002B4464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4F21"/>
    <w:rsid w:val="003B0012"/>
    <w:rsid w:val="003C6997"/>
    <w:rsid w:val="003E4437"/>
    <w:rsid w:val="00417088"/>
    <w:rsid w:val="00463861"/>
    <w:rsid w:val="004654ED"/>
    <w:rsid w:val="004760A9"/>
    <w:rsid w:val="00480100"/>
    <w:rsid w:val="00480784"/>
    <w:rsid w:val="00481CF8"/>
    <w:rsid w:val="00486A3D"/>
    <w:rsid w:val="0048765E"/>
    <w:rsid w:val="00490A6C"/>
    <w:rsid w:val="00495F4C"/>
    <w:rsid w:val="004A29D4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053D6"/>
    <w:rsid w:val="005207E3"/>
    <w:rsid w:val="005215FB"/>
    <w:rsid w:val="0054514B"/>
    <w:rsid w:val="00545FB7"/>
    <w:rsid w:val="00561C8F"/>
    <w:rsid w:val="005755BA"/>
    <w:rsid w:val="0057692D"/>
    <w:rsid w:val="005812C2"/>
    <w:rsid w:val="005C7162"/>
    <w:rsid w:val="005D7DB4"/>
    <w:rsid w:val="005E5D7C"/>
    <w:rsid w:val="005F7D7C"/>
    <w:rsid w:val="00613298"/>
    <w:rsid w:val="00651069"/>
    <w:rsid w:val="00657ADD"/>
    <w:rsid w:val="00671FB7"/>
    <w:rsid w:val="0067336D"/>
    <w:rsid w:val="00685427"/>
    <w:rsid w:val="00685C60"/>
    <w:rsid w:val="00694FCA"/>
    <w:rsid w:val="006A159C"/>
    <w:rsid w:val="006A38D1"/>
    <w:rsid w:val="006B5695"/>
    <w:rsid w:val="006B57E0"/>
    <w:rsid w:val="006C3941"/>
    <w:rsid w:val="0072017E"/>
    <w:rsid w:val="0072214C"/>
    <w:rsid w:val="007514FE"/>
    <w:rsid w:val="00774599"/>
    <w:rsid w:val="00783043"/>
    <w:rsid w:val="007D1A35"/>
    <w:rsid w:val="007E78A4"/>
    <w:rsid w:val="00832581"/>
    <w:rsid w:val="008329E7"/>
    <w:rsid w:val="00870C53"/>
    <w:rsid w:val="00872A29"/>
    <w:rsid w:val="00883D6C"/>
    <w:rsid w:val="00886207"/>
    <w:rsid w:val="00897FCE"/>
    <w:rsid w:val="008B02AA"/>
    <w:rsid w:val="008B2417"/>
    <w:rsid w:val="008B6B76"/>
    <w:rsid w:val="008E3905"/>
    <w:rsid w:val="008E7DE0"/>
    <w:rsid w:val="008F4A97"/>
    <w:rsid w:val="009115AF"/>
    <w:rsid w:val="00916B0E"/>
    <w:rsid w:val="00917B5B"/>
    <w:rsid w:val="0092562F"/>
    <w:rsid w:val="00935D40"/>
    <w:rsid w:val="00940A35"/>
    <w:rsid w:val="009410A0"/>
    <w:rsid w:val="00955355"/>
    <w:rsid w:val="00963036"/>
    <w:rsid w:val="009744B2"/>
    <w:rsid w:val="009B5732"/>
    <w:rsid w:val="009C3CAA"/>
    <w:rsid w:val="009C61AC"/>
    <w:rsid w:val="009D580B"/>
    <w:rsid w:val="009D7B62"/>
    <w:rsid w:val="009E4629"/>
    <w:rsid w:val="009E5E29"/>
    <w:rsid w:val="009F3F68"/>
    <w:rsid w:val="009F3F6B"/>
    <w:rsid w:val="00A0719E"/>
    <w:rsid w:val="00A305A7"/>
    <w:rsid w:val="00A32590"/>
    <w:rsid w:val="00A355BD"/>
    <w:rsid w:val="00A402EA"/>
    <w:rsid w:val="00A43C67"/>
    <w:rsid w:val="00A53163"/>
    <w:rsid w:val="00A72106"/>
    <w:rsid w:val="00A83D4E"/>
    <w:rsid w:val="00AA47FE"/>
    <w:rsid w:val="00AA7C65"/>
    <w:rsid w:val="00AB536D"/>
    <w:rsid w:val="00AC7EEF"/>
    <w:rsid w:val="00B047B3"/>
    <w:rsid w:val="00B107D2"/>
    <w:rsid w:val="00B10A58"/>
    <w:rsid w:val="00B16C0D"/>
    <w:rsid w:val="00B26E83"/>
    <w:rsid w:val="00B36FB1"/>
    <w:rsid w:val="00B41640"/>
    <w:rsid w:val="00B4240C"/>
    <w:rsid w:val="00B473C4"/>
    <w:rsid w:val="00B55B22"/>
    <w:rsid w:val="00B60841"/>
    <w:rsid w:val="00B645C9"/>
    <w:rsid w:val="00B70488"/>
    <w:rsid w:val="00B7457E"/>
    <w:rsid w:val="00BA50C0"/>
    <w:rsid w:val="00BA63DA"/>
    <w:rsid w:val="00BB1C06"/>
    <w:rsid w:val="00BC24EE"/>
    <w:rsid w:val="00BD489D"/>
    <w:rsid w:val="00BD4A14"/>
    <w:rsid w:val="00BE4349"/>
    <w:rsid w:val="00C0203A"/>
    <w:rsid w:val="00C21B0B"/>
    <w:rsid w:val="00C22E6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5853"/>
    <w:rsid w:val="00CC50E4"/>
    <w:rsid w:val="00CE14CD"/>
    <w:rsid w:val="00CE28AA"/>
    <w:rsid w:val="00CE3E52"/>
    <w:rsid w:val="00CE6578"/>
    <w:rsid w:val="00D23AA7"/>
    <w:rsid w:val="00D345DA"/>
    <w:rsid w:val="00D40158"/>
    <w:rsid w:val="00D43C46"/>
    <w:rsid w:val="00D478B3"/>
    <w:rsid w:val="00D5601F"/>
    <w:rsid w:val="00D605FE"/>
    <w:rsid w:val="00D62A9A"/>
    <w:rsid w:val="00D63713"/>
    <w:rsid w:val="00D96AE9"/>
    <w:rsid w:val="00DA1F89"/>
    <w:rsid w:val="00DC73AD"/>
    <w:rsid w:val="00DD16C4"/>
    <w:rsid w:val="00DD42A2"/>
    <w:rsid w:val="00DD50F9"/>
    <w:rsid w:val="00DE224D"/>
    <w:rsid w:val="00DF470C"/>
    <w:rsid w:val="00E0575B"/>
    <w:rsid w:val="00E16221"/>
    <w:rsid w:val="00E423BB"/>
    <w:rsid w:val="00E4518A"/>
    <w:rsid w:val="00E72EFD"/>
    <w:rsid w:val="00E75AC2"/>
    <w:rsid w:val="00E81ACD"/>
    <w:rsid w:val="00EA0210"/>
    <w:rsid w:val="00EA0B95"/>
    <w:rsid w:val="00EA3CE7"/>
    <w:rsid w:val="00EA741A"/>
    <w:rsid w:val="00EC27FD"/>
    <w:rsid w:val="00EC70F3"/>
    <w:rsid w:val="00EC7220"/>
    <w:rsid w:val="00ED2652"/>
    <w:rsid w:val="00ED3418"/>
    <w:rsid w:val="00EE005A"/>
    <w:rsid w:val="00EF0674"/>
    <w:rsid w:val="00EF5872"/>
    <w:rsid w:val="00EF5DD5"/>
    <w:rsid w:val="00F03100"/>
    <w:rsid w:val="00F16AE6"/>
    <w:rsid w:val="00F2167E"/>
    <w:rsid w:val="00F25DFA"/>
    <w:rsid w:val="00F312DB"/>
    <w:rsid w:val="00F4565A"/>
    <w:rsid w:val="00F75DD1"/>
    <w:rsid w:val="00F90890"/>
    <w:rsid w:val="00FA4B87"/>
    <w:rsid w:val="00FA733F"/>
    <w:rsid w:val="00FC0388"/>
    <w:rsid w:val="00FD4568"/>
    <w:rsid w:val="00FE25F2"/>
    <w:rsid w:val="00FF2243"/>
    <w:rsid w:val="088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paragraph" w:styleId="18">
    <w:name w:val="Normal (Web)"/>
    <w:basedOn w:val="1"/>
    <w:unhideWhenUsed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paragraph" w:styleId="19">
    <w:name w:val="Title"/>
    <w:basedOn w:val="1"/>
    <w:next w:val="1"/>
    <w:link w:val="26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1">
    <w:name w:val="Table Grid"/>
    <w:basedOn w:val="20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b/>
      <w:bCs/>
    </w:rPr>
  </w:style>
  <w:style w:type="character" w:styleId="24">
    <w:name w:val="page number"/>
    <w:basedOn w:val="22"/>
    <w:uiPriority w:val="0"/>
  </w:style>
  <w:style w:type="character" w:styleId="25">
    <w:name w:val="Hyperlink"/>
    <w:qFormat/>
    <w:uiPriority w:val="99"/>
    <w:rPr>
      <w:color w:val="0000FF"/>
      <w:u w:val="single"/>
    </w:rPr>
  </w:style>
  <w:style w:type="character" w:customStyle="1" w:styleId="26">
    <w:name w:val="标题 Char"/>
    <w:basedOn w:val="22"/>
    <w:link w:val="19"/>
    <w:uiPriority w:val="0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bmp"/><Relationship Id="rId8" Type="http://schemas.openxmlformats.org/officeDocument/2006/relationships/image" Target="media/image3.bmp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w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Pages>9</Pages>
  <Words>2191</Words>
  <Characters>3422</Characters>
  <Lines>20</Lines>
  <Paragraphs>5</Paragraphs>
  <TotalTime>0</TotalTime>
  <ScaleCrop>false</ScaleCrop>
  <LinksUpToDate>false</LinksUpToDate>
  <CharactersWithSpaces>4896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2024-11-28T11:08:00Z</dcterms:created>
  <dc:creator>山河万里.</dc:creator>
  <cp:lastModifiedBy>山河万里.</cp:lastModifiedBy>
  <dcterms:modified xsi:type="dcterms:W3CDTF">2024-11-28T11:08:54Z</dcterms:modified>
  <dc:title>住区热环境规定性设计计算书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403626DB73BD49D1AB11375E1DFF1332_11</vt:lpwstr>
  </property>
  <property fmtid="{D5CDD505-2E9C-101B-9397-08002B2CF9AE}" pid="3" name="KSOProductBuildVer">
    <vt:lpwstr>2052-12.1.0.18912</vt:lpwstr>
  </property>
</Properties>
</file>