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r="http://schemas.openxmlformats.org/officeDocument/2006/relationships" xmlns:w15="http://schemas.microsoft.com/office/word/2012/wordml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智汇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基本级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住宅建筑外窗传热系数降低比例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住宅建筑隔声性能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达到低限标准限值和高要求标准限值的平均值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64.0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75.0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45.0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107.0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总得分：Q=（Q0+Q1+Q2+Q3+Q4+Q5+QA）/10=75.6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224332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248389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4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7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64.0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r="http://schemas.openxmlformats.org/officeDocument/2006/relationships" xmlns:w15="http://schemas.microsoft.com/office/word/2012/wordml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r="http://schemas.openxmlformats.org/officeDocument/2006/relationships" xmlns:w15="http://schemas.microsoft.com/office/word/2012/wordml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