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4F994EF">
      <w:pPr>
        <w:spacing w:before="180" w:beforeLines="0" w:after="360" w:afterLines="0"/>
        <w:jc w:val="center"/>
        <w:rPr>
          <w:rFonts w:hint="eastAsia" w:ascii="Times New Roman" w:hAnsi="Times New Roman"/>
          <w:color w:val="000000"/>
          <w:kern w:val="0"/>
          <w:position w:val="20"/>
          <w:sz w:val="44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20"/>
          <w:sz w:val="44"/>
          <w:szCs w:val="24"/>
          <w:lang w:val="en-US" w:eastAsia="zh-CN"/>
        </w:rPr>
        <w:t>工业建筑节能计算分析报告书</w:t>
      </w:r>
    </w:p>
    <w:p w14:paraId="5DD6F2D1">
      <w:pPr>
        <w:spacing w:before="100" w:beforeLines="0" w:after="100" w:afterLines="0"/>
        <w:jc w:val="center"/>
        <w:rPr>
          <w:rFonts w:hint="eastAsia" w:ascii="Times New Roman" w:hAnsi="Times New Roman"/>
          <w:color w:val="000000"/>
          <w:kern w:val="0"/>
          <w:position w:val="20"/>
          <w:sz w:val="21"/>
          <w:szCs w:val="24"/>
          <w:lang w:val="en-US" w:eastAsia="zh-CN"/>
        </w:rPr>
      </w:pPr>
    </w:p>
    <w:p w14:paraId="2E6F487A">
      <w:pPr>
        <w:spacing w:beforeLines="0" w:after="100" w:afterLines="0"/>
        <w:jc w:val="left"/>
        <w:rPr>
          <w:rFonts w:hint="default" w:ascii="Times New Roman" w:hAnsi="Times New Roman"/>
          <w:color w:val="000000"/>
          <w:kern w:val="0"/>
          <w:position w:val="20"/>
          <w:sz w:val="28"/>
          <w:szCs w:val="24"/>
          <w:u w:val="single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20"/>
          <w:sz w:val="28"/>
          <w:szCs w:val="24"/>
          <w:lang w:val="en-US" w:eastAsia="zh-CN"/>
        </w:rPr>
        <w:t xml:space="preserve">        项目名称：</w:t>
      </w:r>
      <w:r>
        <w:rPr>
          <w:rFonts w:hint="eastAsia" w:ascii="Times New Roman" w:hAnsi="Times New Roman"/>
          <w:color w:val="000000"/>
          <w:kern w:val="0"/>
          <w:position w:val="20"/>
          <w:sz w:val="28"/>
          <w:szCs w:val="24"/>
          <w:u w:val="single"/>
          <w:lang w:val="en-US" w:eastAsia="zh-CN"/>
        </w:rPr>
        <w:t xml:space="preserve">2024 年西平县专探水泉汪乡村建设特色 </w:t>
      </w:r>
    </w:p>
    <w:p w14:paraId="13863FBB">
      <w:pPr>
        <w:spacing w:beforeLines="0" w:after="100" w:afterLines="0"/>
        <w:jc w:val="left"/>
        <w:rPr>
          <w:rFonts w:hint="default" w:ascii="Times New Roman" w:hAnsi="Times New Roman"/>
          <w:color w:val="000000"/>
          <w:kern w:val="0"/>
          <w:position w:val="20"/>
          <w:sz w:val="28"/>
          <w:szCs w:val="24"/>
          <w:u w:val="single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20"/>
          <w:sz w:val="28"/>
          <w:szCs w:val="24"/>
          <w:lang w:val="en-US" w:eastAsia="zh-CN"/>
        </w:rPr>
        <w:t xml:space="preserve">                  </w:t>
      </w:r>
      <w:r>
        <w:rPr>
          <w:rFonts w:hint="eastAsia" w:ascii="Times New Roman" w:hAnsi="Times New Roman"/>
          <w:color w:val="000000"/>
          <w:kern w:val="0"/>
          <w:position w:val="20"/>
          <w:sz w:val="28"/>
          <w:szCs w:val="24"/>
          <w:u w:val="single"/>
          <w:lang w:val="en-US" w:eastAsia="zh-CN"/>
        </w:rPr>
        <w:t xml:space="preserve"> 业示范项目(一期)——木工坊02#楼    </w:t>
      </w:r>
    </w:p>
    <w:p w14:paraId="59F7CF71">
      <w:pPr>
        <w:spacing w:beforeLines="0" w:after="100" w:afterLines="0"/>
        <w:jc w:val="left"/>
        <w:rPr>
          <w:rFonts w:hint="eastAsia" w:ascii="Times New Roman" w:hAnsi="Times New Roman"/>
          <w:color w:val="000000"/>
          <w:kern w:val="0"/>
          <w:position w:val="20"/>
          <w:sz w:val="28"/>
          <w:szCs w:val="24"/>
          <w:u w:val="single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20"/>
          <w:sz w:val="28"/>
          <w:szCs w:val="24"/>
          <w:lang w:val="en-US" w:eastAsia="zh-CN"/>
        </w:rPr>
        <w:t xml:space="preserve">        项目地点：</w:t>
      </w:r>
      <w:r>
        <w:rPr>
          <w:rFonts w:hint="eastAsia" w:ascii="Times New Roman" w:hAnsi="Times New Roman"/>
          <w:color w:val="000000"/>
          <w:kern w:val="0"/>
          <w:position w:val="20"/>
          <w:sz w:val="28"/>
          <w:szCs w:val="24"/>
          <w:u w:val="single"/>
          <w:lang w:val="en-US" w:eastAsia="zh-CN"/>
        </w:rPr>
        <w:t xml:space="preserve">      西平县专探乡水泉汪村          </w:t>
      </w:r>
    </w:p>
    <w:p w14:paraId="058992FC">
      <w:pPr>
        <w:spacing w:beforeLines="0" w:after="100" w:afterLines="0"/>
        <w:jc w:val="left"/>
        <w:rPr>
          <w:rFonts w:hint="eastAsia" w:ascii="Times New Roman" w:hAnsi="Times New Roman"/>
          <w:color w:val="000000"/>
          <w:kern w:val="0"/>
          <w:position w:val="20"/>
          <w:sz w:val="28"/>
          <w:szCs w:val="24"/>
          <w:u w:val="single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20"/>
          <w:sz w:val="28"/>
          <w:szCs w:val="24"/>
          <w:lang w:val="en-US" w:eastAsia="zh-CN"/>
        </w:rPr>
        <w:t xml:space="preserve">        设 计 人：</w:t>
      </w:r>
      <w:r>
        <w:rPr>
          <w:rFonts w:hint="eastAsia" w:ascii="Times New Roman" w:hAnsi="Times New Roman"/>
          <w:color w:val="000000"/>
          <w:kern w:val="0"/>
          <w:position w:val="20"/>
          <w:sz w:val="28"/>
          <w:szCs w:val="24"/>
          <w:u w:val="single"/>
          <w:lang w:val="en-US" w:eastAsia="zh-CN"/>
        </w:rPr>
        <w:t xml:space="preserve">         李泽夏                     </w:t>
      </w:r>
    </w:p>
    <w:p w14:paraId="7F57F0A9">
      <w:pPr>
        <w:spacing w:beforeLines="0" w:after="100" w:afterLines="0"/>
        <w:jc w:val="left"/>
        <w:rPr>
          <w:rFonts w:hint="eastAsia" w:ascii="Times New Roman" w:hAnsi="Times New Roman"/>
          <w:color w:val="000000"/>
          <w:kern w:val="0"/>
          <w:position w:val="20"/>
          <w:sz w:val="28"/>
          <w:szCs w:val="24"/>
          <w:u w:val="single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20"/>
          <w:sz w:val="28"/>
          <w:szCs w:val="24"/>
          <w:lang w:val="en-US" w:eastAsia="zh-CN"/>
        </w:rPr>
        <w:t xml:space="preserve">        校 对 人：</w:t>
      </w:r>
      <w:r>
        <w:rPr>
          <w:rFonts w:hint="eastAsia" w:ascii="Times New Roman" w:hAnsi="Times New Roman"/>
          <w:color w:val="000000"/>
          <w:kern w:val="0"/>
          <w:position w:val="20"/>
          <w:sz w:val="28"/>
          <w:szCs w:val="24"/>
          <w:u w:val="single"/>
          <w:lang w:val="en-US" w:eastAsia="zh-CN"/>
        </w:rPr>
        <w:t xml:space="preserve">         王彦壮                     </w:t>
      </w:r>
    </w:p>
    <w:p w14:paraId="4E849DF1">
      <w:pPr>
        <w:spacing w:beforeLines="0" w:after="100" w:afterLines="0"/>
        <w:jc w:val="left"/>
        <w:rPr>
          <w:rFonts w:hint="eastAsia" w:ascii="Times New Roman" w:hAnsi="Times New Roman"/>
          <w:color w:val="000000"/>
          <w:kern w:val="0"/>
          <w:position w:val="20"/>
          <w:sz w:val="28"/>
          <w:szCs w:val="24"/>
          <w:u w:val="single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20"/>
          <w:sz w:val="28"/>
          <w:szCs w:val="24"/>
          <w:lang w:val="en-US" w:eastAsia="zh-CN"/>
        </w:rPr>
        <w:t xml:space="preserve">        审 核 人：</w:t>
      </w:r>
      <w:r>
        <w:rPr>
          <w:rFonts w:hint="eastAsia" w:ascii="Times New Roman" w:hAnsi="Times New Roman"/>
          <w:color w:val="000000"/>
          <w:kern w:val="0"/>
          <w:position w:val="20"/>
          <w:sz w:val="28"/>
          <w:szCs w:val="24"/>
          <w:u w:val="single"/>
          <w:lang w:val="en-US" w:eastAsia="zh-CN"/>
        </w:rPr>
        <w:t xml:space="preserve">         张文忠                     </w:t>
      </w:r>
    </w:p>
    <w:p w14:paraId="31DC0656">
      <w:pPr>
        <w:spacing w:beforeLines="0" w:after="100" w:afterLines="0"/>
        <w:jc w:val="left"/>
        <w:rPr>
          <w:rFonts w:hint="eastAsia" w:ascii="Times New Roman" w:hAnsi="Times New Roman"/>
          <w:color w:val="000000"/>
          <w:kern w:val="0"/>
          <w:position w:val="20"/>
          <w:sz w:val="28"/>
          <w:szCs w:val="24"/>
          <w:u w:val="single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20"/>
          <w:sz w:val="28"/>
          <w:szCs w:val="24"/>
          <w:lang w:val="en-US" w:eastAsia="zh-CN"/>
        </w:rPr>
        <w:t xml:space="preserve">        审 批 人：</w:t>
      </w:r>
      <w:r>
        <w:rPr>
          <w:rFonts w:hint="eastAsia" w:ascii="Times New Roman" w:hAnsi="Times New Roman"/>
          <w:color w:val="000000"/>
          <w:kern w:val="0"/>
          <w:position w:val="20"/>
          <w:sz w:val="28"/>
          <w:szCs w:val="24"/>
          <w:u w:val="single"/>
          <w:lang w:val="en-US" w:eastAsia="zh-CN"/>
        </w:rPr>
        <w:t xml:space="preserve">         乔景顺                     </w:t>
      </w:r>
    </w:p>
    <w:p w14:paraId="1B96ECEC">
      <w:pPr>
        <w:spacing w:beforeLines="0" w:after="100" w:afterLines="0"/>
        <w:jc w:val="left"/>
        <w:rPr>
          <w:rFonts w:hint="eastAsia" w:ascii="Times New Roman" w:hAnsi="Times New Roman"/>
          <w:color w:val="000000"/>
          <w:kern w:val="0"/>
          <w:position w:val="20"/>
          <w:sz w:val="28"/>
          <w:szCs w:val="24"/>
          <w:u w:val="single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20"/>
          <w:sz w:val="28"/>
          <w:szCs w:val="24"/>
          <w:lang w:val="en-US" w:eastAsia="zh-CN"/>
        </w:rPr>
        <w:t xml:space="preserve">        设计单位：</w:t>
      </w:r>
      <w:r>
        <w:rPr>
          <w:rFonts w:hint="eastAsia" w:ascii="Times New Roman" w:hAnsi="Times New Roman"/>
          <w:color w:val="000000"/>
          <w:kern w:val="0"/>
          <w:position w:val="20"/>
          <w:sz w:val="28"/>
          <w:szCs w:val="24"/>
          <w:u w:val="single"/>
          <w:lang w:val="en-US" w:eastAsia="zh-CN"/>
        </w:rPr>
        <w:t xml:space="preserve">     河南黄淮学院建筑设计有限公司   </w:t>
      </w:r>
    </w:p>
    <w:p w14:paraId="171F8C44">
      <w:pPr>
        <w:spacing w:beforeLines="0" w:after="100" w:afterLines="0"/>
        <w:jc w:val="left"/>
        <w:rPr>
          <w:rFonts w:hint="eastAsia" w:ascii="Times New Roman" w:hAnsi="Times New Roman"/>
          <w:color w:val="000000"/>
          <w:kern w:val="0"/>
          <w:position w:val="20"/>
          <w:sz w:val="28"/>
          <w:szCs w:val="24"/>
          <w:u w:val="single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20"/>
          <w:sz w:val="28"/>
          <w:szCs w:val="24"/>
          <w:lang w:val="en-US" w:eastAsia="zh-CN"/>
        </w:rPr>
        <w:t xml:space="preserve">        建设单位：</w:t>
      </w:r>
      <w:r>
        <w:rPr>
          <w:rFonts w:hint="eastAsia" w:ascii="Times New Roman" w:hAnsi="Times New Roman"/>
          <w:color w:val="000000"/>
          <w:kern w:val="0"/>
          <w:position w:val="20"/>
          <w:sz w:val="28"/>
          <w:szCs w:val="24"/>
          <w:u w:val="single"/>
          <w:lang w:val="en-US" w:eastAsia="zh-CN"/>
        </w:rPr>
        <w:t xml:space="preserve">        西平县专探乡人民政府        </w:t>
      </w:r>
    </w:p>
    <w:p w14:paraId="60844A92">
      <w:pPr>
        <w:spacing w:beforeLines="0" w:after="100" w:afterLines="0"/>
        <w:jc w:val="left"/>
        <w:rPr>
          <w:rFonts w:hint="eastAsia" w:ascii="Times New Roman" w:hAnsi="Times New Roman"/>
          <w:color w:val="000000"/>
          <w:kern w:val="0"/>
          <w:position w:val="20"/>
          <w:sz w:val="28"/>
          <w:szCs w:val="24"/>
          <w:u w:val="single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20"/>
          <w:sz w:val="28"/>
          <w:szCs w:val="24"/>
          <w:lang w:val="en-US" w:eastAsia="zh-CN"/>
        </w:rPr>
        <w:t xml:space="preserve">        设计日期：</w:t>
      </w:r>
      <w:r>
        <w:rPr>
          <w:rFonts w:hint="eastAsia" w:ascii="Times New Roman" w:hAnsi="Times New Roman"/>
          <w:color w:val="000000"/>
          <w:kern w:val="0"/>
          <w:position w:val="20"/>
          <w:sz w:val="28"/>
          <w:szCs w:val="24"/>
          <w:u w:val="single"/>
          <w:lang w:val="en-US" w:eastAsia="zh-CN"/>
        </w:rPr>
        <w:t xml:space="preserve">             2024年8月             </w:t>
      </w:r>
    </w:p>
    <w:p w14:paraId="4FCAC838">
      <w:pPr>
        <w:spacing w:before="100" w:beforeLines="0" w:after="100" w:afterLines="0"/>
        <w:jc w:val="center"/>
        <w:rPr>
          <w:rFonts w:hint="eastAsia" w:ascii="Times New Roman" w:hAnsi="Times New Roman"/>
          <w:color w:val="000000"/>
          <w:kern w:val="0"/>
          <w:position w:val="20"/>
          <w:sz w:val="21"/>
          <w:szCs w:val="24"/>
          <w:lang w:val="en-US" w:eastAsia="zh-CN"/>
        </w:rPr>
      </w:pPr>
    </w:p>
    <w:p w14:paraId="7BEAB65F">
      <w:pPr>
        <w:spacing w:before="100" w:beforeLines="0" w:after="100" w:afterLines="0"/>
        <w:jc w:val="center"/>
        <w:rPr>
          <w:rFonts w:hint="eastAsia" w:ascii="Times New Roman" w:hAnsi="Times New Roman"/>
          <w:color w:val="000000"/>
          <w:kern w:val="0"/>
          <w:position w:val="20"/>
          <w:sz w:val="21"/>
          <w:szCs w:val="24"/>
          <w:lang w:val="en-US" w:eastAsia="zh-CN"/>
        </w:rPr>
      </w:pPr>
    </w:p>
    <w:p w14:paraId="540365A5">
      <w:pPr>
        <w:spacing w:before="100" w:beforeLines="0" w:after="100" w:afterLines="0"/>
        <w:jc w:val="center"/>
        <w:rPr>
          <w:rFonts w:hint="eastAsia" w:ascii="Times New Roman" w:hAnsi="Times New Roman"/>
          <w:color w:val="000000"/>
          <w:kern w:val="0"/>
          <w:position w:val="2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20"/>
          <w:sz w:val="21"/>
          <w:szCs w:val="24"/>
          <w:lang w:val="en-US" w:eastAsia="zh-CN"/>
        </w:rPr>
        <w:drawing>
          <wp:inline distT="0" distB="0" distL="114300" distR="114300">
            <wp:extent cx="1428750" cy="1428750"/>
            <wp:effectExtent l="0" t="0" r="0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20" w:type="dxa"/>
          <w:bottom w:w="0" w:type="dxa"/>
          <w:right w:w="120" w:type="dxa"/>
        </w:tblCellMar>
      </w:tblPr>
      <w:tblGrid>
        <w:gridCol w:w="2300"/>
        <w:gridCol w:w="6900"/>
      </w:tblGrid>
      <w:tr w14:paraId="05F4E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41E87658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计算软件</w:t>
            </w:r>
          </w:p>
        </w:tc>
        <w:tc>
          <w:tcPr>
            <w:tcW w:w="6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50D782B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PBECA建筑节能设计分析软件</w:t>
            </w:r>
          </w:p>
        </w:tc>
      </w:tr>
      <w:tr w14:paraId="5FEA9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74E2507C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研发单位</w:t>
            </w:r>
          </w:p>
        </w:tc>
        <w:tc>
          <w:tcPr>
            <w:tcW w:w="6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31C63A8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中国建筑科学研究院有限公司 北京构力科技有限公司</w:t>
            </w:r>
          </w:p>
        </w:tc>
      </w:tr>
      <w:tr w14:paraId="3703B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21BF2D48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软件版本</w:t>
            </w:r>
          </w:p>
        </w:tc>
        <w:tc>
          <w:tcPr>
            <w:tcW w:w="6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4B5B5F0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20230927</w:t>
            </w:r>
          </w:p>
        </w:tc>
      </w:tr>
      <w:tr w14:paraId="3E138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012EC4B1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计算时间</w:t>
            </w:r>
          </w:p>
        </w:tc>
        <w:tc>
          <w:tcPr>
            <w:tcW w:w="6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C812A2D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2024.9.9 18:53</w:t>
            </w:r>
          </w:p>
        </w:tc>
      </w:tr>
    </w:tbl>
    <w:p w14:paraId="51C9AF0A">
      <w:pPr>
        <w:spacing w:before="100" w:beforeLines="0" w:after="100" w:afterLines="0"/>
        <w:jc w:val="center"/>
        <w:rPr>
          <w:rFonts w:hint="eastAsia" w:ascii="Times New Roman" w:hAnsi="Times New Roman"/>
          <w:color w:val="000000"/>
          <w:kern w:val="0"/>
          <w:position w:val="10"/>
          <w:sz w:val="44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10"/>
          <w:sz w:val="44"/>
          <w:szCs w:val="24"/>
          <w:lang w:val="en-US" w:eastAsia="zh-CN"/>
        </w:rPr>
        <w:t>2024 年西平县专探水泉汪乡村建设特色业示范项目(一期)——木工坊</w:t>
      </w:r>
    </w:p>
    <w:p w14:paraId="1FFDCAEF">
      <w:pPr>
        <w:spacing w:before="100" w:beforeLines="0" w:after="100" w:afterLines="0"/>
        <w:jc w:val="center"/>
        <w:rPr>
          <w:rFonts w:hint="eastAsia" w:ascii="Times New Roman" w:hAnsi="Times New Roman"/>
          <w:color w:val="000000"/>
          <w:kern w:val="0"/>
          <w:position w:val="10"/>
          <w:sz w:val="44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10"/>
          <w:sz w:val="44"/>
          <w:szCs w:val="24"/>
          <w:lang w:val="en-US" w:eastAsia="zh-CN"/>
        </w:rPr>
        <w:t>工业建筑节能计算分析报告书</w:t>
      </w:r>
    </w:p>
    <w:p w14:paraId="57B34317">
      <w:pPr>
        <w:spacing w:before="200" w:beforeLines="0" w:after="200" w:afterLines="0"/>
        <w:jc w:val="left"/>
        <w:rPr>
          <w:rFonts w:hint="eastAsia" w:ascii="Times New Roman" w:hAnsi="Times New Roman"/>
          <w:b/>
          <w:color w:val="000000"/>
          <w:kern w:val="0"/>
          <w:position w:val="10"/>
          <w:sz w:val="32"/>
          <w:szCs w:val="24"/>
          <w:lang w:val="en-US" w:eastAsia="zh-CN"/>
        </w:rPr>
      </w:pPr>
      <w:r>
        <w:rPr>
          <w:rFonts w:hint="eastAsia" w:ascii="Times New Roman" w:hAnsi="Times New Roman"/>
          <w:b/>
          <w:color w:val="000000"/>
          <w:kern w:val="0"/>
          <w:position w:val="10"/>
          <w:sz w:val="32"/>
          <w:szCs w:val="24"/>
          <w:lang w:val="en-US" w:eastAsia="zh-CN"/>
        </w:rPr>
        <w:t>一、标准依据</w:t>
      </w:r>
    </w:p>
    <w:p w14:paraId="204447EE">
      <w:pPr>
        <w:spacing w:before="100" w:beforeLines="0" w:after="100" w:afterLines="0"/>
        <w:jc w:val="left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>1.《建筑节能与可再生能源利用通用规范》（GB 55015—2021）</w:t>
      </w:r>
    </w:p>
    <w:p w14:paraId="007E1166">
      <w:pPr>
        <w:spacing w:before="100" w:beforeLines="0" w:after="100" w:afterLines="0"/>
        <w:jc w:val="left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>2.《民用建筑热工设计规范》GB50176-2016</w:t>
      </w:r>
    </w:p>
    <w:p w14:paraId="2E5B3F4D">
      <w:pPr>
        <w:spacing w:before="100" w:beforeLines="0" w:after="100" w:afterLines="0"/>
        <w:jc w:val="left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>3.《建筑外门窗气密、水密、抗风压性能检测方法》GB/T 7106-2019</w:t>
      </w:r>
    </w:p>
    <w:p w14:paraId="6A0F84FE">
      <w:pPr>
        <w:spacing w:before="100" w:beforeLines="0" w:after="100" w:afterLines="0"/>
        <w:jc w:val="left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 xml:space="preserve">4.《建筑幕墙、门窗通用技术条件》GB/T 31433-2015 </w:t>
      </w:r>
    </w:p>
    <w:p w14:paraId="3DB232E3">
      <w:pPr>
        <w:spacing w:before="200" w:beforeLines="0" w:after="200" w:afterLines="0"/>
        <w:jc w:val="left"/>
        <w:rPr>
          <w:rFonts w:hint="eastAsia" w:ascii="Times New Roman" w:hAnsi="Times New Roman"/>
          <w:b/>
          <w:color w:val="000000"/>
          <w:kern w:val="0"/>
          <w:position w:val="10"/>
          <w:sz w:val="32"/>
          <w:szCs w:val="24"/>
          <w:lang w:val="en-US" w:eastAsia="zh-CN"/>
        </w:rPr>
      </w:pPr>
      <w:r>
        <w:rPr>
          <w:rFonts w:hint="eastAsia" w:ascii="Times New Roman" w:hAnsi="Times New Roman"/>
          <w:b/>
          <w:color w:val="000000"/>
          <w:kern w:val="0"/>
          <w:position w:val="10"/>
          <w:sz w:val="32"/>
          <w:szCs w:val="24"/>
          <w:lang w:val="en-US" w:eastAsia="zh-CN"/>
        </w:rPr>
        <w:t>二、建筑概况</w:t>
      </w:r>
    </w:p>
    <w:p w14:paraId="795EA380">
      <w:pPr>
        <w:spacing w:before="150" w:beforeLines="0" w:after="150" w:afterLines="0"/>
        <w:jc w:val="left"/>
        <w:rPr>
          <w:rFonts w:hint="eastAsia" w:ascii="Times New Roman" w:hAnsi="Times New Roman"/>
          <w:b/>
          <w:color w:val="000000"/>
          <w:kern w:val="0"/>
          <w:position w:val="10"/>
          <w:sz w:val="28"/>
          <w:szCs w:val="24"/>
          <w:lang w:val="en-US" w:eastAsia="zh-CN"/>
        </w:rPr>
      </w:pPr>
      <w:r>
        <w:rPr>
          <w:rFonts w:hint="eastAsia" w:ascii="Times New Roman" w:hAnsi="Times New Roman"/>
          <w:b/>
          <w:color w:val="000000"/>
          <w:kern w:val="0"/>
          <w:position w:val="10"/>
          <w:sz w:val="28"/>
          <w:szCs w:val="24"/>
          <w:lang w:val="en-US" w:eastAsia="zh-CN"/>
        </w:rPr>
        <w:t>1 项目基本信息</w:t>
      </w:r>
    </w:p>
    <w:p w14:paraId="601B5661">
      <w:pPr>
        <w:spacing w:before="100" w:beforeLines="0" w:after="100" w:afterLines="0"/>
        <w:jc w:val="center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>表1 项目基本信息表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20" w:type="dxa"/>
          <w:bottom w:w="0" w:type="dxa"/>
          <w:right w:w="120" w:type="dxa"/>
        </w:tblCellMar>
      </w:tblPr>
      <w:tblGrid>
        <w:gridCol w:w="2300"/>
        <w:gridCol w:w="2300"/>
        <w:gridCol w:w="2300"/>
        <w:gridCol w:w="2300"/>
      </w:tblGrid>
      <w:tr w14:paraId="0FD7B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65F7C9D0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工程名称</w:t>
            </w:r>
          </w:p>
        </w:tc>
        <w:tc>
          <w:tcPr>
            <w:tcW w:w="69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85D44BB">
            <w:pPr>
              <w:spacing w:before="100" w:beforeLines="0" w:after="100" w:afterLines="0"/>
              <w:jc w:val="left"/>
              <w:rPr>
                <w:rFonts w:hint="default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2024 年西平县专探水泉汪乡村建设特色业示范项目(一期)——木工坊02#楼</w:t>
            </w:r>
          </w:p>
        </w:tc>
      </w:tr>
      <w:tr w14:paraId="19E77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4EC174DB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工程地点</w:t>
            </w:r>
          </w:p>
        </w:tc>
        <w:tc>
          <w:tcPr>
            <w:tcW w:w="69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09C9A51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河南驻马店</w:t>
            </w:r>
          </w:p>
        </w:tc>
      </w:tr>
      <w:tr w14:paraId="00CA3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2F150F5B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地理位置</w:t>
            </w:r>
          </w:p>
        </w:tc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F57FD35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北纬：33.00</w:t>
            </w:r>
          </w:p>
        </w:tc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6B865CD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东经：114.00</w:t>
            </w:r>
          </w:p>
        </w:tc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DA76A17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海拔：83.00</w:t>
            </w:r>
          </w:p>
        </w:tc>
      </w:tr>
      <w:tr w14:paraId="4728D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4B9B8ACB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气候分区</w:t>
            </w:r>
          </w:p>
        </w:tc>
        <w:tc>
          <w:tcPr>
            <w:tcW w:w="69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6CBD9C6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夏热冬冷A区</w:t>
            </w:r>
          </w:p>
        </w:tc>
      </w:tr>
      <w:tr w14:paraId="2CABA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359FF216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建筑类型</w:t>
            </w:r>
          </w:p>
        </w:tc>
        <w:tc>
          <w:tcPr>
            <w:tcW w:w="69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721D6FD">
            <w:pPr>
              <w:spacing w:before="100" w:beforeLines="0" w:after="100" w:afterLines="0"/>
              <w:jc w:val="left"/>
              <w:rPr>
                <w:rFonts w:hint="default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厂房</w:t>
            </w:r>
          </w:p>
        </w:tc>
      </w:tr>
      <w:tr w14:paraId="06070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73180554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建筑分类</w:t>
            </w:r>
          </w:p>
        </w:tc>
        <w:tc>
          <w:tcPr>
            <w:tcW w:w="69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EA45559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乙类建筑</w:t>
            </w:r>
          </w:p>
        </w:tc>
      </w:tr>
      <w:tr w14:paraId="736F3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3F719453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结构形式</w:t>
            </w:r>
          </w:p>
        </w:tc>
        <w:tc>
          <w:tcPr>
            <w:tcW w:w="69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354DC6A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框架结构</w:t>
            </w:r>
          </w:p>
        </w:tc>
      </w:tr>
      <w:tr w14:paraId="4D5E8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60703414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建筑朝向</w:t>
            </w:r>
          </w:p>
        </w:tc>
        <w:tc>
          <w:tcPr>
            <w:tcW w:w="69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92AE61B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南</w:t>
            </w:r>
          </w:p>
        </w:tc>
      </w:tr>
      <w:tr w14:paraId="164A6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0F20C232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指北针角度</w:t>
            </w:r>
          </w:p>
        </w:tc>
        <w:tc>
          <w:tcPr>
            <w:tcW w:w="69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389C754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北</w:t>
            </w:r>
          </w:p>
        </w:tc>
      </w:tr>
      <w:tr w14:paraId="78826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1EF58D2C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建筑面积（计算）</w:t>
            </w:r>
          </w:p>
        </w:tc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8582ACD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总面积199.64 m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vertAlign w:val="superscript"/>
                <w:lang w:val="en-US" w:eastAsia="zh-CN"/>
              </w:rPr>
              <w:t>2</w:t>
            </w:r>
          </w:p>
        </w:tc>
        <w:tc>
          <w:tcPr>
            <w:tcW w:w="4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45A22A7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地上：199.64 m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 xml:space="preserve">  地下：0.00 m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vertAlign w:val="superscript"/>
                <w:lang w:val="en-US" w:eastAsia="zh-CN"/>
              </w:rPr>
              <w:t>2</w:t>
            </w:r>
          </w:p>
        </w:tc>
      </w:tr>
      <w:tr w14:paraId="3C238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049FF309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建筑体积（计算）</w:t>
            </w:r>
          </w:p>
        </w:tc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4B3840C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总体积：958.28 m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vertAlign w:val="superscript"/>
                <w:lang w:val="en-US" w:eastAsia="zh-CN"/>
              </w:rPr>
              <w:t>3</w:t>
            </w:r>
          </w:p>
        </w:tc>
        <w:tc>
          <w:tcPr>
            <w:tcW w:w="4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ECC2468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地上：958.28 m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 xml:space="preserve">  地下：0.00 m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vertAlign w:val="superscript"/>
                <w:lang w:val="en-US" w:eastAsia="zh-CN"/>
              </w:rPr>
              <w:t>3</w:t>
            </w:r>
          </w:p>
        </w:tc>
      </w:tr>
      <w:tr w14:paraId="12C01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6787F45C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外表面积和体形系数</w:t>
            </w:r>
          </w:p>
        </w:tc>
        <w:tc>
          <w:tcPr>
            <w:tcW w:w="69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6522C38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总外表面积：470.54 m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 xml:space="preserve"> (体形系数：0.49)</w:t>
            </w:r>
          </w:p>
        </w:tc>
      </w:tr>
      <w:tr w14:paraId="3A260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6EA3DC1F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建筑层数</w:t>
            </w:r>
          </w:p>
        </w:tc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7FDAF59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地上：1 层</w:t>
            </w:r>
          </w:p>
        </w:tc>
        <w:tc>
          <w:tcPr>
            <w:tcW w:w="4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9372EB8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地下：0 层</w:t>
            </w:r>
          </w:p>
        </w:tc>
      </w:tr>
      <w:tr w14:paraId="38564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4813430D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建筑高度</w:t>
            </w:r>
          </w:p>
        </w:tc>
        <w:tc>
          <w:tcPr>
            <w:tcW w:w="69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8A2C2E4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4.80 m</w:t>
            </w:r>
          </w:p>
        </w:tc>
      </w:tr>
    </w:tbl>
    <w:p w14:paraId="5B5F680F">
      <w:pPr>
        <w:autoSpaceDE/>
        <w:autoSpaceDN/>
        <w:adjustRightInd/>
        <w:spacing w:beforeLines="0" w:afterLines="0" w:line="360" w:lineRule="auto"/>
        <w:ind w:left="-361" w:leftChars="-172" w:right="-506" w:rightChars="-241"/>
        <w:jc w:val="center"/>
        <w:outlineLvl w:val="0"/>
        <w:rPr>
          <w:rFonts w:hint="default" w:ascii="Times New Roman" w:hAnsi="Times New Roman"/>
          <w:position w:val="10"/>
          <w:sz w:val="21"/>
          <w:szCs w:val="24"/>
          <w:lang w:val="en-US" w:eastAsia="zh-CN"/>
        </w:rPr>
      </w:pPr>
    </w:p>
    <w:p w14:paraId="56895A0A">
      <w:pPr>
        <w:spacing w:before="150" w:beforeLines="0" w:after="150" w:afterLines="0"/>
        <w:jc w:val="left"/>
        <w:rPr>
          <w:rFonts w:hint="eastAsia" w:ascii="Times New Roman" w:hAnsi="Times New Roman"/>
          <w:b/>
          <w:color w:val="000000"/>
          <w:kern w:val="0"/>
          <w:position w:val="10"/>
          <w:sz w:val="28"/>
          <w:szCs w:val="24"/>
          <w:lang w:val="en-US" w:eastAsia="zh-CN"/>
        </w:rPr>
      </w:pPr>
      <w:r>
        <w:rPr>
          <w:rFonts w:hint="eastAsia" w:ascii="Times New Roman" w:hAnsi="Times New Roman"/>
          <w:b/>
          <w:color w:val="000000"/>
          <w:kern w:val="0"/>
          <w:position w:val="10"/>
          <w:sz w:val="28"/>
          <w:szCs w:val="24"/>
          <w:lang w:val="en-US" w:eastAsia="zh-CN"/>
        </w:rPr>
        <w:t>2 标准层及窗墙比信息</w:t>
      </w:r>
    </w:p>
    <w:p w14:paraId="7549ED7F">
      <w:pPr>
        <w:spacing w:before="100" w:beforeLines="0" w:after="100" w:afterLines="0"/>
        <w:jc w:val="center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>表2 建筑标准层信息表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20" w:type="dxa"/>
          <w:bottom w:w="0" w:type="dxa"/>
          <w:right w:w="120" w:type="dxa"/>
        </w:tblCellMar>
      </w:tblPr>
      <w:tblGrid>
        <w:gridCol w:w="1800"/>
        <w:gridCol w:w="2800"/>
        <w:gridCol w:w="2300"/>
        <w:gridCol w:w="2300"/>
      </w:tblGrid>
      <w:tr w14:paraId="3FC9C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0379AE81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标准层</w:t>
            </w:r>
          </w:p>
        </w:tc>
        <w:tc>
          <w:tcPr>
            <w:tcW w:w="2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38F75972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实际楼层</w:t>
            </w:r>
          </w:p>
        </w:tc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34A1E018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层高(m)</w:t>
            </w:r>
          </w:p>
        </w:tc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4DE553E8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建筑面积(m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)</w:t>
            </w:r>
          </w:p>
        </w:tc>
      </w:tr>
      <w:tr w14:paraId="1CBE1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C297F45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标准层1</w:t>
            </w:r>
          </w:p>
        </w:tc>
        <w:tc>
          <w:tcPr>
            <w:tcW w:w="2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B23B9DB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地上1层</w:t>
            </w:r>
          </w:p>
        </w:tc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90D7BA9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4.80</w:t>
            </w:r>
          </w:p>
        </w:tc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30420D4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199.64</w:t>
            </w:r>
          </w:p>
        </w:tc>
      </w:tr>
    </w:tbl>
    <w:p w14:paraId="72BC697F">
      <w:pPr>
        <w:autoSpaceDE/>
        <w:autoSpaceDN/>
        <w:adjustRightInd/>
        <w:spacing w:beforeLines="0" w:afterLines="0" w:line="360" w:lineRule="auto"/>
        <w:ind w:left="-361" w:leftChars="-172" w:right="-506" w:rightChars="-241"/>
        <w:jc w:val="center"/>
        <w:outlineLvl w:val="0"/>
        <w:rPr>
          <w:rFonts w:hint="default" w:ascii="Times New Roman" w:hAnsi="Times New Roman"/>
          <w:position w:val="10"/>
          <w:sz w:val="21"/>
          <w:szCs w:val="24"/>
          <w:lang w:val="en-US" w:eastAsia="zh-CN"/>
        </w:rPr>
      </w:pPr>
    </w:p>
    <w:p w14:paraId="16DC2F13">
      <w:pPr>
        <w:spacing w:before="100" w:beforeLines="0" w:after="100" w:afterLines="0"/>
        <w:jc w:val="center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>表3 各朝向窗墙面积比信息表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20" w:type="dxa"/>
          <w:bottom w:w="0" w:type="dxa"/>
          <w:right w:w="120" w:type="dxa"/>
        </w:tblCellMar>
      </w:tblPr>
      <w:tblGrid>
        <w:gridCol w:w="1800"/>
        <w:gridCol w:w="2800"/>
        <w:gridCol w:w="2300"/>
        <w:gridCol w:w="2300"/>
      </w:tblGrid>
      <w:tr w14:paraId="73E52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6A1C6790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朝向</w:t>
            </w:r>
          </w:p>
        </w:tc>
        <w:tc>
          <w:tcPr>
            <w:tcW w:w="2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69BDF9DA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外窗面积（包括透明幕墙）(m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)</w:t>
            </w:r>
          </w:p>
        </w:tc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3C4CF362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朝向面积 (m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)</w:t>
            </w:r>
          </w:p>
        </w:tc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0D6776EB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朝向窗墙比</w:t>
            </w:r>
          </w:p>
        </w:tc>
      </w:tr>
      <w:tr w14:paraId="437B9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61DB2BF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东</w:t>
            </w:r>
          </w:p>
        </w:tc>
        <w:tc>
          <w:tcPr>
            <w:tcW w:w="2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3D26E31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--</w:t>
            </w:r>
          </w:p>
        </w:tc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9EAC926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71.54</w:t>
            </w:r>
          </w:p>
        </w:tc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87B4EFA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--</w:t>
            </w:r>
          </w:p>
        </w:tc>
      </w:tr>
      <w:tr w14:paraId="0A1CB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B611E54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南</w:t>
            </w:r>
          </w:p>
        </w:tc>
        <w:tc>
          <w:tcPr>
            <w:tcW w:w="2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70A3766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--</w:t>
            </w:r>
          </w:p>
        </w:tc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38A8CA0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68.90</w:t>
            </w:r>
          </w:p>
        </w:tc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319B2D2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--</w:t>
            </w:r>
          </w:p>
        </w:tc>
      </w:tr>
      <w:tr w14:paraId="3B4D8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6246E34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西</w:t>
            </w:r>
          </w:p>
        </w:tc>
        <w:tc>
          <w:tcPr>
            <w:tcW w:w="2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528532C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20.34</w:t>
            </w:r>
          </w:p>
        </w:tc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D9E3107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71.54</w:t>
            </w:r>
          </w:p>
        </w:tc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A5FAFA4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0.28</w:t>
            </w:r>
          </w:p>
        </w:tc>
      </w:tr>
      <w:tr w14:paraId="01776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D9095B6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北</w:t>
            </w:r>
          </w:p>
        </w:tc>
        <w:tc>
          <w:tcPr>
            <w:tcW w:w="2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BAF907E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31.95</w:t>
            </w:r>
          </w:p>
        </w:tc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268DA1B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68.90</w:t>
            </w:r>
          </w:p>
        </w:tc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1DEC0E1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0.46</w:t>
            </w:r>
          </w:p>
        </w:tc>
      </w:tr>
      <w:tr w14:paraId="01519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0B9F438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合计</w:t>
            </w:r>
          </w:p>
        </w:tc>
        <w:tc>
          <w:tcPr>
            <w:tcW w:w="2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C47D1F9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52.29</w:t>
            </w:r>
          </w:p>
        </w:tc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FE2644B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280.88</w:t>
            </w:r>
          </w:p>
        </w:tc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8DA2FF6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0.19</w:t>
            </w:r>
          </w:p>
        </w:tc>
      </w:tr>
    </w:tbl>
    <w:p w14:paraId="2DA61B04">
      <w:pPr>
        <w:autoSpaceDE/>
        <w:autoSpaceDN/>
        <w:adjustRightInd/>
        <w:spacing w:beforeLines="0" w:afterLines="0" w:line="360" w:lineRule="auto"/>
        <w:ind w:left="-361" w:leftChars="-172" w:right="-506" w:rightChars="-241"/>
        <w:jc w:val="center"/>
        <w:outlineLvl w:val="0"/>
        <w:rPr>
          <w:rFonts w:hint="default" w:ascii="Times New Roman" w:hAnsi="Times New Roman"/>
          <w:position w:val="10"/>
          <w:sz w:val="21"/>
          <w:szCs w:val="24"/>
          <w:lang w:val="en-US" w:eastAsia="zh-CN"/>
        </w:rPr>
      </w:pPr>
    </w:p>
    <w:p w14:paraId="37BA9A1C">
      <w:pPr>
        <w:spacing w:before="200" w:beforeLines="0" w:after="200" w:afterLines="0"/>
        <w:jc w:val="left"/>
        <w:rPr>
          <w:rFonts w:hint="eastAsia" w:ascii="Times New Roman" w:hAnsi="Times New Roman"/>
          <w:b/>
          <w:color w:val="000000"/>
          <w:kern w:val="0"/>
          <w:position w:val="10"/>
          <w:sz w:val="32"/>
          <w:szCs w:val="24"/>
          <w:lang w:val="en-US" w:eastAsia="zh-CN"/>
        </w:rPr>
      </w:pPr>
      <w:r>
        <w:rPr>
          <w:rFonts w:hint="eastAsia" w:ascii="Times New Roman" w:hAnsi="Times New Roman"/>
          <w:b/>
          <w:color w:val="000000"/>
          <w:kern w:val="0"/>
          <w:position w:val="10"/>
          <w:sz w:val="32"/>
          <w:szCs w:val="24"/>
          <w:lang w:val="en-US" w:eastAsia="zh-CN"/>
        </w:rPr>
        <w:t>三、建筑材料选用依据</w:t>
      </w:r>
    </w:p>
    <w:p w14:paraId="6C6EC9C7">
      <w:pPr>
        <w:spacing w:before="150" w:beforeLines="0" w:after="150" w:afterLines="0"/>
        <w:jc w:val="left"/>
        <w:rPr>
          <w:rFonts w:hint="eastAsia" w:ascii="Times New Roman" w:hAnsi="Times New Roman"/>
          <w:b/>
          <w:color w:val="000000"/>
          <w:kern w:val="0"/>
          <w:position w:val="10"/>
          <w:sz w:val="28"/>
          <w:szCs w:val="24"/>
          <w:lang w:val="en-US" w:eastAsia="zh-CN"/>
        </w:rPr>
      </w:pPr>
      <w:r>
        <w:rPr>
          <w:rFonts w:hint="eastAsia" w:ascii="Times New Roman" w:hAnsi="Times New Roman"/>
          <w:b/>
          <w:color w:val="000000"/>
          <w:kern w:val="0"/>
          <w:position w:val="10"/>
          <w:sz w:val="28"/>
          <w:szCs w:val="24"/>
          <w:lang w:val="en-US" w:eastAsia="zh-CN"/>
        </w:rPr>
        <w:t>1 非透明材料热工参数依据</w:t>
      </w:r>
    </w:p>
    <w:p w14:paraId="75086851">
      <w:pPr>
        <w:spacing w:before="100" w:beforeLines="0" w:after="100" w:afterLines="0"/>
        <w:jc w:val="center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>表4 非透明材料热工参数依据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20" w:type="dxa"/>
          <w:bottom w:w="0" w:type="dxa"/>
          <w:right w:w="120" w:type="dxa"/>
        </w:tblCellMar>
      </w:tblPr>
      <w:tblGrid>
        <w:gridCol w:w="1400"/>
        <w:gridCol w:w="1200"/>
        <w:gridCol w:w="1200"/>
        <w:gridCol w:w="1300"/>
        <w:gridCol w:w="1200"/>
        <w:gridCol w:w="1200"/>
        <w:gridCol w:w="1700"/>
      </w:tblGrid>
      <w:tr w14:paraId="07264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14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40C308AE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材料名称</w:t>
            </w:r>
          </w:p>
        </w:tc>
        <w:tc>
          <w:tcPr>
            <w:tcW w:w="12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27682FEF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干密度(Kg/m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)</w:t>
            </w:r>
          </w:p>
        </w:tc>
        <w:tc>
          <w:tcPr>
            <w:tcW w:w="12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4F749B1E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导热系数[W/(m·K)]</w:t>
            </w:r>
          </w:p>
        </w:tc>
        <w:tc>
          <w:tcPr>
            <w:tcW w:w="13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7E8BFCCA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蓄热系数[W/(m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·K)]</w:t>
            </w:r>
          </w:p>
        </w:tc>
        <w:tc>
          <w:tcPr>
            <w:tcW w:w="24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0BFA6EEE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修正系数α</w:t>
            </w:r>
          </w:p>
        </w:tc>
        <w:tc>
          <w:tcPr>
            <w:tcW w:w="17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2E9B290B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选用依据</w:t>
            </w:r>
          </w:p>
        </w:tc>
      </w:tr>
      <w:tr w14:paraId="1AE69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14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33C45E73">
            <w:pPr>
              <w:spacing w:beforeLines="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101E192D">
            <w:pPr>
              <w:spacing w:beforeLines="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62C47377">
            <w:pPr>
              <w:spacing w:beforeLines="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4CAE33CF">
            <w:pPr>
              <w:spacing w:beforeLines="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6E54C631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α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5081D35A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使用部位</w:t>
            </w:r>
          </w:p>
        </w:tc>
        <w:tc>
          <w:tcPr>
            <w:tcW w:w="17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F1B26A8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</w:p>
        </w:tc>
      </w:tr>
      <w:tr w14:paraId="355F6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DD213F7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无机轻集料保温砂浆I型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089CE7D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350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CD5BFD0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0.070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6145DEE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1.20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CE98136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墙体:1.25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BC8A4E2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热桥柱/热桥梁/热桥过梁/热桥楼板/外墙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5C55F5F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《无机轻集料砂浆保温系统技术规程》JGJ/T 253-2019</w:t>
            </w:r>
          </w:p>
        </w:tc>
      </w:tr>
      <w:tr w14:paraId="08F39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65CDF34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挤塑聚苯板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0190383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32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BD132D0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0.030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394C914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0.32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4521B43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屋顶:1.10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D8B9B03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屋面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DE64D33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《民用建筑热工设计规范》GB50176-2016</w:t>
            </w:r>
          </w:p>
        </w:tc>
      </w:tr>
    </w:tbl>
    <w:p w14:paraId="703BA0A9">
      <w:pPr>
        <w:autoSpaceDE/>
        <w:autoSpaceDN/>
        <w:adjustRightInd/>
        <w:spacing w:beforeLines="0" w:afterLines="0" w:line="360" w:lineRule="auto"/>
        <w:ind w:left="-361" w:leftChars="-172" w:right="-506" w:rightChars="-241"/>
        <w:jc w:val="center"/>
        <w:outlineLvl w:val="0"/>
        <w:rPr>
          <w:rFonts w:hint="default" w:ascii="Times New Roman" w:hAnsi="Times New Roman"/>
          <w:position w:val="10"/>
          <w:sz w:val="21"/>
          <w:szCs w:val="24"/>
          <w:lang w:val="en-US" w:eastAsia="zh-CN"/>
        </w:rPr>
      </w:pPr>
    </w:p>
    <w:p w14:paraId="611CB8BB">
      <w:pPr>
        <w:spacing w:before="150" w:beforeLines="0" w:after="150" w:afterLines="0"/>
        <w:jc w:val="left"/>
        <w:rPr>
          <w:rFonts w:hint="eastAsia" w:ascii="Times New Roman" w:hAnsi="Times New Roman"/>
          <w:b/>
          <w:color w:val="000000"/>
          <w:kern w:val="0"/>
          <w:position w:val="10"/>
          <w:sz w:val="28"/>
          <w:szCs w:val="24"/>
          <w:lang w:val="en-US" w:eastAsia="zh-CN"/>
        </w:rPr>
      </w:pPr>
      <w:r>
        <w:rPr>
          <w:rFonts w:hint="eastAsia" w:ascii="Times New Roman" w:hAnsi="Times New Roman"/>
          <w:b/>
          <w:color w:val="000000"/>
          <w:kern w:val="0"/>
          <w:position w:val="10"/>
          <w:sz w:val="28"/>
          <w:szCs w:val="24"/>
          <w:lang w:val="en-US" w:eastAsia="zh-CN"/>
        </w:rPr>
        <w:t>2 透明材料热工参数依据</w:t>
      </w:r>
    </w:p>
    <w:p w14:paraId="010C8881">
      <w:pPr>
        <w:spacing w:before="100" w:beforeLines="0" w:after="100" w:afterLines="0"/>
        <w:jc w:val="center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>表5 透明材料热工参数依据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20" w:type="dxa"/>
          <w:bottom w:w="0" w:type="dxa"/>
          <w:right w:w="120" w:type="dxa"/>
        </w:tblCellMar>
      </w:tblPr>
      <w:tblGrid>
        <w:gridCol w:w="2300"/>
        <w:gridCol w:w="1300"/>
        <w:gridCol w:w="1200"/>
        <w:gridCol w:w="1200"/>
        <w:gridCol w:w="1200"/>
        <w:gridCol w:w="2000"/>
      </w:tblGrid>
      <w:tr w14:paraId="2C85F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38726713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门窗类型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432FCA65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传热系数[W/(m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·K)]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35C20742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玻璃太阳得热系数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2037CE6D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应用部位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764EE1A8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气密性等级</w:t>
            </w:r>
          </w:p>
        </w:tc>
        <w:tc>
          <w:tcPr>
            <w:tcW w:w="2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16FC755E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选用依据</w:t>
            </w:r>
          </w:p>
        </w:tc>
      </w:tr>
      <w:tr w14:paraId="01605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A8CE62D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断桥铝窗框(Low-E中空SuperSE-I)5mm+9A+5mm(可见光透射比为0.61，遮阳系数为0.6）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D5109B0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2.40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470EAC9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0.35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3084BD6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天窗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25B9089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6</w:t>
            </w:r>
          </w:p>
        </w:tc>
        <w:tc>
          <w:tcPr>
            <w:tcW w:w="2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D67B2B2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《12系列建筑标准设计图集》12YJ4-1</w:t>
            </w:r>
          </w:p>
        </w:tc>
      </w:tr>
      <w:tr w14:paraId="2DBD3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4E0A484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断桥铝窗框(Low-E中空SuperSE-I)5mm+9A+5mm(可见光透射比为0.61，遮阳系数为0.6）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B2C455F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2.40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9C6FB16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0.52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D7A0238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外窗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AF6AB79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6</w:t>
            </w:r>
          </w:p>
        </w:tc>
        <w:tc>
          <w:tcPr>
            <w:tcW w:w="2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4441B60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《12系列建筑标准设计图集》12YJ4-1</w:t>
            </w:r>
          </w:p>
        </w:tc>
      </w:tr>
    </w:tbl>
    <w:p w14:paraId="47356EC4">
      <w:pPr>
        <w:autoSpaceDE/>
        <w:autoSpaceDN/>
        <w:adjustRightInd/>
        <w:spacing w:beforeLines="0" w:afterLines="0" w:line="360" w:lineRule="auto"/>
        <w:ind w:left="-361" w:leftChars="-172" w:right="-506" w:rightChars="-241"/>
        <w:jc w:val="center"/>
        <w:outlineLvl w:val="0"/>
        <w:rPr>
          <w:rFonts w:hint="default" w:ascii="Times New Roman" w:hAnsi="Times New Roman"/>
          <w:position w:val="10"/>
          <w:sz w:val="21"/>
          <w:szCs w:val="24"/>
          <w:lang w:val="en-US" w:eastAsia="zh-CN"/>
        </w:rPr>
      </w:pPr>
    </w:p>
    <w:p w14:paraId="61F030CF">
      <w:pPr>
        <w:spacing w:before="200" w:beforeLines="0" w:after="200" w:afterLines="0"/>
        <w:jc w:val="left"/>
        <w:rPr>
          <w:rFonts w:hint="eastAsia" w:ascii="Times New Roman" w:hAnsi="Times New Roman"/>
          <w:b/>
          <w:color w:val="000000"/>
          <w:kern w:val="0"/>
          <w:position w:val="10"/>
          <w:sz w:val="32"/>
          <w:szCs w:val="24"/>
          <w:lang w:val="en-US" w:eastAsia="zh-CN"/>
        </w:rPr>
      </w:pPr>
      <w:r>
        <w:rPr>
          <w:rFonts w:hint="eastAsia" w:ascii="Times New Roman" w:hAnsi="Times New Roman"/>
          <w:b/>
          <w:color w:val="000000"/>
          <w:kern w:val="0"/>
          <w:position w:val="10"/>
          <w:sz w:val="32"/>
          <w:szCs w:val="24"/>
          <w:lang w:val="en-US" w:eastAsia="zh-CN"/>
        </w:rPr>
        <w:t>四、围护结构构造做法</w:t>
      </w:r>
    </w:p>
    <w:p w14:paraId="6351050A">
      <w:pPr>
        <w:spacing w:before="100" w:beforeLines="0" w:after="100" w:afterLines="0"/>
        <w:jc w:val="left"/>
        <w:rPr>
          <w:rFonts w:hint="eastAsia" w:ascii="Times New Roman" w:hAnsi="Times New Roman"/>
          <w:b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b/>
          <w:color w:val="000000"/>
          <w:kern w:val="0"/>
          <w:position w:val="10"/>
          <w:sz w:val="21"/>
          <w:szCs w:val="24"/>
          <w:lang w:val="en-US" w:eastAsia="zh-CN"/>
        </w:rPr>
        <w:t>屋面类型（由上到下）：</w:t>
      </w:r>
    </w:p>
    <w:p w14:paraId="052F48A3">
      <w:pPr>
        <w:spacing w:before="100" w:beforeLines="0" w:after="100" w:afterLines="0"/>
        <w:jc w:val="left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>第1层：浅色饰面砖及浅色涂料（10.0mm）</w:t>
      </w:r>
    </w:p>
    <w:p w14:paraId="63C4619F">
      <w:pPr>
        <w:spacing w:before="100" w:beforeLines="0" w:after="100" w:afterLines="0"/>
        <w:jc w:val="left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>第2层：水泥砂浆（20.0mm）</w:t>
      </w:r>
    </w:p>
    <w:p w14:paraId="6D117667">
      <w:pPr>
        <w:spacing w:before="100" w:beforeLines="0" w:after="100" w:afterLines="0"/>
        <w:jc w:val="left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>第3层：沥青油毡，油毡纸（6.0mm）</w:t>
      </w:r>
    </w:p>
    <w:p w14:paraId="6BF3EDFA">
      <w:pPr>
        <w:spacing w:before="100" w:beforeLines="0" w:after="100" w:afterLines="0"/>
        <w:jc w:val="left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>第4层：挤塑聚苯板（50.0mm）</w:t>
      </w:r>
    </w:p>
    <w:p w14:paraId="46C67C47">
      <w:pPr>
        <w:spacing w:before="100" w:beforeLines="0" w:after="100" w:afterLines="0"/>
        <w:jc w:val="left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>第5层：钢筋混凝土（120.0mm）</w:t>
      </w:r>
    </w:p>
    <w:p w14:paraId="71CE8855">
      <w:pPr>
        <w:spacing w:before="100" w:beforeLines="0" w:after="100" w:afterLines="0"/>
        <w:jc w:val="left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</w:p>
    <w:p w14:paraId="7C1E3D8B">
      <w:pPr>
        <w:spacing w:before="100" w:beforeLines="0" w:after="100" w:afterLines="0"/>
        <w:jc w:val="left"/>
        <w:rPr>
          <w:rFonts w:hint="eastAsia" w:ascii="Times New Roman" w:hAnsi="Times New Roman"/>
          <w:b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b/>
          <w:color w:val="000000"/>
          <w:kern w:val="0"/>
          <w:position w:val="10"/>
          <w:sz w:val="21"/>
          <w:szCs w:val="24"/>
          <w:lang w:val="en-US" w:eastAsia="zh-CN"/>
        </w:rPr>
        <w:t>外墙类型（由外至内）：</w:t>
      </w:r>
    </w:p>
    <w:p w14:paraId="79372485">
      <w:pPr>
        <w:spacing w:before="100" w:beforeLines="0" w:after="100" w:afterLines="0"/>
        <w:jc w:val="left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>第1层：浅色涂料（2.0mm）</w:t>
      </w:r>
    </w:p>
    <w:p w14:paraId="294C1107">
      <w:pPr>
        <w:spacing w:before="100" w:beforeLines="0" w:after="100" w:afterLines="0"/>
        <w:jc w:val="left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>第2层：水泥砂浆（10.0mm）</w:t>
      </w:r>
    </w:p>
    <w:p w14:paraId="2D196266">
      <w:pPr>
        <w:spacing w:before="100" w:beforeLines="0" w:after="100" w:afterLines="0"/>
        <w:jc w:val="left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>第3层：无机轻集料保温砂浆I型（45.0mm）</w:t>
      </w:r>
    </w:p>
    <w:p w14:paraId="3F1DDDB5">
      <w:pPr>
        <w:spacing w:before="100" w:beforeLines="0" w:after="100" w:afterLines="0"/>
        <w:jc w:val="left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>第4层：蒸压粉煤灰砖（密度1500kg/m3)（240.0mm）</w:t>
      </w:r>
    </w:p>
    <w:p w14:paraId="64FBD64B">
      <w:pPr>
        <w:spacing w:before="100" w:beforeLines="0" w:after="100" w:afterLines="0"/>
        <w:jc w:val="left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>第5层：水泥砂浆（10.0mm）</w:t>
      </w:r>
    </w:p>
    <w:p w14:paraId="4E1EFEFC">
      <w:pPr>
        <w:spacing w:before="100" w:beforeLines="0" w:after="100" w:afterLines="0"/>
        <w:jc w:val="left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</w:p>
    <w:p w14:paraId="6BFB00C6">
      <w:pPr>
        <w:spacing w:before="100" w:beforeLines="0" w:after="100" w:afterLines="0"/>
        <w:jc w:val="left"/>
        <w:rPr>
          <w:rFonts w:hint="eastAsia" w:ascii="Times New Roman" w:hAnsi="Times New Roman"/>
          <w:b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b/>
          <w:color w:val="000000"/>
          <w:kern w:val="0"/>
          <w:position w:val="10"/>
          <w:sz w:val="21"/>
          <w:szCs w:val="24"/>
          <w:lang w:val="en-US" w:eastAsia="zh-CN"/>
        </w:rPr>
        <w:t>外窗类型：</w:t>
      </w:r>
    </w:p>
    <w:p w14:paraId="0EC2D1A1">
      <w:pPr>
        <w:spacing w:before="100" w:beforeLines="0" w:after="100" w:afterLines="0"/>
        <w:jc w:val="left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>构造：断桥铝窗框(Low-E中空SuperSE-I)（5mm+9A+5mm(可见光透射比为0.61，遮阳系数为0.6））</w:t>
      </w:r>
    </w:p>
    <w:p w14:paraId="0E2818CE">
      <w:pPr>
        <w:spacing w:before="100" w:beforeLines="0" w:after="100" w:afterLines="0"/>
        <w:jc w:val="left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>热工性能：传热系数2.40W/(m</w:t>
      </w: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vertAlign w:val="superscript"/>
          <w:lang w:val="en-US" w:eastAsia="zh-CN"/>
        </w:rPr>
        <w:t>2</w:t>
      </w: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>·K)，夏季玻璃太阳得热系数0.52/冬季玻璃太阳得热系数：0.52，夏季玻璃遮阳系数0.60/冬季玻璃遮阳系数：0.60，气密性为6级，可见光透射比0.61</w:t>
      </w:r>
    </w:p>
    <w:p w14:paraId="4AD91685">
      <w:pPr>
        <w:spacing w:before="100" w:beforeLines="0" w:after="100" w:afterLines="0"/>
        <w:jc w:val="left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</w:p>
    <w:p w14:paraId="1EC22B63">
      <w:pPr>
        <w:spacing w:before="100" w:beforeLines="0" w:after="100" w:afterLines="0"/>
        <w:jc w:val="left"/>
        <w:rPr>
          <w:rFonts w:hint="eastAsia" w:ascii="Times New Roman" w:hAnsi="Times New Roman"/>
          <w:b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b/>
          <w:color w:val="000000"/>
          <w:kern w:val="0"/>
          <w:position w:val="10"/>
          <w:sz w:val="21"/>
          <w:szCs w:val="24"/>
          <w:lang w:val="en-US" w:eastAsia="zh-CN"/>
        </w:rPr>
        <w:t>天窗类型：</w:t>
      </w:r>
    </w:p>
    <w:p w14:paraId="1141A026">
      <w:pPr>
        <w:spacing w:before="100" w:beforeLines="0" w:after="100" w:afterLines="0"/>
        <w:jc w:val="left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>构造：断桥铝窗框(Low-E中空SuperSE-I)（5mm+9A+5mm(可见光透射比为0.61，遮阳系数为0.6））</w:t>
      </w:r>
    </w:p>
    <w:p w14:paraId="75BE4071">
      <w:pPr>
        <w:spacing w:before="100" w:beforeLines="0" w:after="100" w:afterLines="0"/>
        <w:jc w:val="left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>热工性能：传热系数2.40W/(m</w:t>
      </w: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vertAlign w:val="superscript"/>
          <w:lang w:val="en-US" w:eastAsia="zh-CN"/>
        </w:rPr>
        <w:t>2</w:t>
      </w: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>·K)，夏季玻璃太阳得热系数0.35/冬季玻璃太阳得热系数：0.35，夏季玻璃遮阳系数0.40/冬季玻璃遮阳系数：0.40，气密性为6级，可见光透射比0.61</w:t>
      </w:r>
    </w:p>
    <w:p w14:paraId="0E33E9DC">
      <w:pPr>
        <w:spacing w:before="100" w:beforeLines="0" w:after="100" w:afterLines="0"/>
        <w:jc w:val="left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</w:p>
    <w:p w14:paraId="30D90C04">
      <w:pPr>
        <w:spacing w:before="200" w:beforeLines="0" w:after="200" w:afterLines="0"/>
        <w:jc w:val="left"/>
        <w:rPr>
          <w:rFonts w:hint="eastAsia" w:ascii="Times New Roman" w:hAnsi="Times New Roman"/>
          <w:b/>
          <w:color w:val="000000"/>
          <w:kern w:val="0"/>
          <w:position w:val="10"/>
          <w:sz w:val="32"/>
          <w:szCs w:val="24"/>
          <w:lang w:val="en-US" w:eastAsia="zh-CN"/>
        </w:rPr>
      </w:pPr>
      <w:r>
        <w:rPr>
          <w:rFonts w:hint="eastAsia" w:ascii="Times New Roman" w:hAnsi="Times New Roman"/>
          <w:b/>
          <w:color w:val="000000"/>
          <w:kern w:val="0"/>
          <w:position w:val="10"/>
          <w:sz w:val="32"/>
          <w:szCs w:val="24"/>
          <w:lang w:val="en-US" w:eastAsia="zh-CN"/>
        </w:rPr>
        <w:t>五、规定性指标判定</w:t>
      </w:r>
    </w:p>
    <w:p w14:paraId="2A614D3B">
      <w:pPr>
        <w:spacing w:before="150" w:beforeLines="0" w:after="150" w:afterLines="0"/>
        <w:jc w:val="left"/>
        <w:rPr>
          <w:rFonts w:hint="eastAsia" w:ascii="Times New Roman" w:hAnsi="Times New Roman"/>
          <w:b/>
          <w:color w:val="000000"/>
          <w:kern w:val="0"/>
          <w:position w:val="10"/>
          <w:sz w:val="28"/>
          <w:szCs w:val="24"/>
          <w:lang w:val="en-US" w:eastAsia="zh-CN"/>
        </w:rPr>
      </w:pPr>
      <w:r>
        <w:rPr>
          <w:rFonts w:hint="eastAsia" w:ascii="Times New Roman" w:hAnsi="Times New Roman"/>
          <w:b/>
          <w:color w:val="000000"/>
          <w:kern w:val="0"/>
          <w:position w:val="10"/>
          <w:sz w:val="28"/>
          <w:szCs w:val="24"/>
          <w:lang w:val="en-US" w:eastAsia="zh-CN"/>
        </w:rPr>
        <w:t>1 建筑设计指标</w:t>
      </w:r>
    </w:p>
    <w:p w14:paraId="1AD484A1">
      <w:pPr>
        <w:spacing w:before="100" w:beforeLines="0" w:after="100" w:afterLines="0"/>
        <w:jc w:val="left"/>
        <w:rPr>
          <w:rFonts w:hint="eastAsia" w:ascii="Times New Roman" w:hAnsi="Times New Roman"/>
          <w:b/>
          <w:color w:val="000000"/>
          <w:kern w:val="0"/>
          <w:position w:val="10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/>
          <w:color w:val="000000"/>
          <w:kern w:val="0"/>
          <w:position w:val="10"/>
          <w:sz w:val="24"/>
          <w:szCs w:val="24"/>
          <w:lang w:val="en-US" w:eastAsia="zh-CN"/>
        </w:rPr>
        <w:t>1.1 屋顶透光面积比</w:t>
      </w:r>
    </w:p>
    <w:p w14:paraId="61EE0A77">
      <w:pPr>
        <w:spacing w:before="100" w:beforeLines="0" w:after="100" w:afterLines="0"/>
        <w:jc w:val="center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>表6 屋顶透光部分面积占屋顶面积比判定表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20" w:type="dxa"/>
          <w:bottom w:w="0" w:type="dxa"/>
          <w:right w:w="120" w:type="dxa"/>
        </w:tblCellMar>
      </w:tblPr>
      <w:tblGrid>
        <w:gridCol w:w="1540"/>
        <w:gridCol w:w="1540"/>
        <w:gridCol w:w="1540"/>
        <w:gridCol w:w="1540"/>
        <w:gridCol w:w="1540"/>
        <w:gridCol w:w="1540"/>
      </w:tblGrid>
      <w:tr w14:paraId="75FFF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3081A51B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屋顶透光部分窗框</w:t>
            </w:r>
          </w:p>
        </w:tc>
        <w:tc>
          <w:tcPr>
            <w:tcW w:w="1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2EDFCC77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屋顶透光部分玻璃</w:t>
            </w:r>
          </w:p>
        </w:tc>
        <w:tc>
          <w:tcPr>
            <w:tcW w:w="1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5B19515B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屋顶透光部分面积(m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)</w:t>
            </w:r>
          </w:p>
        </w:tc>
        <w:tc>
          <w:tcPr>
            <w:tcW w:w="1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6F950A10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屋顶面积(m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)</w:t>
            </w:r>
          </w:p>
        </w:tc>
        <w:tc>
          <w:tcPr>
            <w:tcW w:w="1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2347C2D8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屋顶透光部分面积占屋顶面积比</w:t>
            </w:r>
          </w:p>
        </w:tc>
        <w:tc>
          <w:tcPr>
            <w:tcW w:w="1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59254D68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屋顶透光部分面积占屋顶面积比限值</w:t>
            </w:r>
          </w:p>
        </w:tc>
      </w:tr>
      <w:tr w14:paraId="6B3B0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1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3CA533B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断桥铝窗框(Low-E中空SuperSE-I)</w:t>
            </w:r>
          </w:p>
        </w:tc>
        <w:tc>
          <w:tcPr>
            <w:tcW w:w="1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C81927E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5mm+9A+5mm(可见光透射比为0.61，遮阳系数为0.6）</w:t>
            </w:r>
          </w:p>
        </w:tc>
        <w:tc>
          <w:tcPr>
            <w:tcW w:w="1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C5112E9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20.40</w:t>
            </w:r>
          </w:p>
        </w:tc>
        <w:tc>
          <w:tcPr>
            <w:tcW w:w="1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516891A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189.66</w:t>
            </w:r>
          </w:p>
        </w:tc>
        <w:tc>
          <w:tcPr>
            <w:tcW w:w="1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7F481E7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0.11</w:t>
            </w:r>
          </w:p>
        </w:tc>
        <w:tc>
          <w:tcPr>
            <w:tcW w:w="1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FB954DD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0.20</w:t>
            </w:r>
          </w:p>
        </w:tc>
      </w:tr>
      <w:tr w14:paraId="2E024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1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11F6497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标准条目</w:t>
            </w:r>
          </w:p>
        </w:tc>
        <w:tc>
          <w:tcPr>
            <w:tcW w:w="770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422CC73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《建筑节能与可再生能源利用通用规范》（GB 55015—2021）第3.1.6条公共建筑屋顶透光部分面积不应大于屋顶总面积的20%。</w:t>
            </w:r>
          </w:p>
        </w:tc>
      </w:tr>
      <w:tr w14:paraId="1D29C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1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76357B0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结论</w:t>
            </w:r>
          </w:p>
        </w:tc>
        <w:tc>
          <w:tcPr>
            <w:tcW w:w="770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13E9B74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FF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FF"/>
                <w:kern w:val="0"/>
                <w:sz w:val="21"/>
                <w:szCs w:val="24"/>
                <w:lang w:val="en-US" w:eastAsia="zh-CN"/>
              </w:rPr>
              <w:t>满足</w:t>
            </w:r>
          </w:p>
        </w:tc>
      </w:tr>
    </w:tbl>
    <w:p w14:paraId="0DBBE42F">
      <w:pPr>
        <w:autoSpaceDE/>
        <w:autoSpaceDN/>
        <w:adjustRightInd/>
        <w:spacing w:beforeLines="0" w:afterLines="0" w:line="360" w:lineRule="auto"/>
        <w:ind w:left="-361" w:leftChars="-172" w:right="-506" w:rightChars="-241"/>
        <w:jc w:val="center"/>
        <w:outlineLvl w:val="0"/>
        <w:rPr>
          <w:rFonts w:hint="default" w:ascii="Times New Roman" w:hAnsi="Times New Roman"/>
          <w:position w:val="10"/>
          <w:sz w:val="21"/>
          <w:szCs w:val="24"/>
          <w:lang w:val="en-US" w:eastAsia="zh-CN"/>
        </w:rPr>
      </w:pPr>
    </w:p>
    <w:p w14:paraId="3832099C">
      <w:pPr>
        <w:spacing w:before="150" w:beforeLines="0" w:after="150" w:afterLines="0"/>
        <w:jc w:val="left"/>
        <w:rPr>
          <w:rFonts w:hint="eastAsia" w:ascii="Times New Roman" w:hAnsi="Times New Roman"/>
          <w:b/>
          <w:color w:val="000000"/>
          <w:kern w:val="0"/>
          <w:position w:val="10"/>
          <w:sz w:val="28"/>
          <w:szCs w:val="24"/>
          <w:lang w:val="en-US" w:eastAsia="zh-CN"/>
        </w:rPr>
      </w:pPr>
      <w:r>
        <w:rPr>
          <w:rFonts w:hint="eastAsia" w:ascii="Times New Roman" w:hAnsi="Times New Roman"/>
          <w:b/>
          <w:color w:val="000000"/>
          <w:kern w:val="0"/>
          <w:position w:val="10"/>
          <w:sz w:val="28"/>
          <w:szCs w:val="24"/>
          <w:lang w:val="en-US" w:eastAsia="zh-CN"/>
        </w:rPr>
        <w:t>2 围护结构热工性能</w:t>
      </w:r>
    </w:p>
    <w:p w14:paraId="75EFC767">
      <w:pPr>
        <w:spacing w:before="100" w:beforeLines="0" w:after="100" w:afterLines="0"/>
        <w:jc w:val="left"/>
        <w:rPr>
          <w:rFonts w:hint="eastAsia" w:ascii="Times New Roman" w:hAnsi="Times New Roman"/>
          <w:b/>
          <w:color w:val="000000"/>
          <w:kern w:val="0"/>
          <w:position w:val="10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/>
          <w:color w:val="000000"/>
          <w:kern w:val="0"/>
          <w:position w:val="10"/>
          <w:sz w:val="24"/>
          <w:szCs w:val="24"/>
          <w:lang w:val="en-US" w:eastAsia="zh-CN"/>
        </w:rPr>
        <w:t>2.1 屋面</w:t>
      </w:r>
    </w:p>
    <w:p w14:paraId="6313CE04">
      <w:pPr>
        <w:spacing w:before="100" w:beforeLines="0" w:after="100" w:afterLines="0"/>
        <w:jc w:val="left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b/>
          <w:color w:val="000000"/>
          <w:kern w:val="0"/>
          <w:position w:val="10"/>
          <w:sz w:val="21"/>
          <w:szCs w:val="24"/>
          <w:lang w:val="en-US" w:eastAsia="zh-CN"/>
        </w:rPr>
        <w:t xml:space="preserve">    屋面构造类型（屋面主体层1）：</w:t>
      </w: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>水泥砂浆(20.0mm) + 沥青油毡，油毡纸(6.0mm) + 挤塑聚苯板(50.0mm) + 钢筋混凝土(120.0mm)</w:t>
      </w:r>
    </w:p>
    <w:p w14:paraId="7D02CEAE">
      <w:pPr>
        <w:spacing w:before="100" w:beforeLines="0" w:after="100" w:afterLines="0"/>
        <w:jc w:val="center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>表7 屋面热工性能判定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20" w:type="dxa"/>
          <w:bottom w:w="0" w:type="dxa"/>
          <w:right w:w="120" w:type="dxa"/>
        </w:tblCellMar>
      </w:tblPr>
      <w:tblGrid>
        <w:gridCol w:w="2300"/>
        <w:gridCol w:w="850"/>
        <w:gridCol w:w="1300"/>
        <w:gridCol w:w="1300"/>
        <w:gridCol w:w="1300"/>
        <w:gridCol w:w="1100"/>
        <w:gridCol w:w="1100"/>
      </w:tblGrid>
      <w:tr w14:paraId="310FD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0CA15AB9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屋面</w:t>
            </w:r>
          </w:p>
          <w:p w14:paraId="0AC06906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每层材料名称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61E83B54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厚度</w:t>
            </w:r>
          </w:p>
          <w:p w14:paraId="5DFC3DF2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(mm)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67FE04DD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导热系数</w:t>
            </w:r>
          </w:p>
          <w:p w14:paraId="1DBA50B8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[W/(m·K)]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26E4C1C0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蓄热系数</w:t>
            </w:r>
          </w:p>
          <w:p w14:paraId="57B7995C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[W/(m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·K)]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2EC390A1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热阻值</w:t>
            </w:r>
          </w:p>
          <w:p w14:paraId="7AE85DD5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[(m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·K)/W]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66128B16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热惰性指</w:t>
            </w:r>
          </w:p>
          <w:p w14:paraId="0F34CDFA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标D=R.S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5C57FDE8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修正系数</w:t>
            </w:r>
          </w:p>
          <w:p w14:paraId="4288CF04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α</w:t>
            </w:r>
          </w:p>
        </w:tc>
      </w:tr>
      <w:tr w14:paraId="0FF13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B13E373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水泥砂浆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70A9AFC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20.0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E76091F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0.930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12BC55E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11.370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AFF3590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0.022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C304C26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0.24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B5DD72B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1.00</w:t>
            </w:r>
          </w:p>
        </w:tc>
      </w:tr>
      <w:tr w14:paraId="0D938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5A9808C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沥青油毡，油毡纸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FC29BC9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6.0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2407F03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0.170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92730FB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3.330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9EFE3D4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0.035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B522574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0.12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A742A3B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1.00</w:t>
            </w:r>
          </w:p>
        </w:tc>
      </w:tr>
      <w:tr w14:paraId="465DE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8C8DB7D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挤塑聚苯板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87D90C5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50.0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4755024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0.030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4C8EE30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0.320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91CBF0A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1.515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3BDA6DB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0.53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63F5707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1.10</w:t>
            </w:r>
          </w:p>
        </w:tc>
      </w:tr>
      <w:tr w14:paraId="7FB47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7120E2A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钢筋混凝土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66EB0EC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120.0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6221335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1.740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6B088E7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17.200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CF3DCDE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0.069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B26F8AC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1.19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BC9A0B2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1.00</w:t>
            </w:r>
          </w:p>
        </w:tc>
      </w:tr>
      <w:tr w14:paraId="0BB4D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FAFEA0D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屋面各层之和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97C3A4F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196.0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CF894F9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79A21C1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064553D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1.64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31767B3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2.08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B949149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 xml:space="preserve"> </w:t>
            </w:r>
          </w:p>
        </w:tc>
      </w:tr>
      <w:tr w14:paraId="296BF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445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9C42E21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屋面热阻 Ro=Ri+∑R+Re=1.80(m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·K)/W</w:t>
            </w:r>
          </w:p>
        </w:tc>
        <w:tc>
          <w:tcPr>
            <w:tcW w:w="480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37841F9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Ri=0.11[(m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·K)/W];Re=0.05[(m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·K)/W]</w:t>
            </w:r>
          </w:p>
        </w:tc>
      </w:tr>
      <w:tr w14:paraId="2285C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D319CF1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屋面传热系数</w:t>
            </w:r>
          </w:p>
        </w:tc>
        <w:tc>
          <w:tcPr>
            <w:tcW w:w="695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1D9E6C4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K=1/Ro=0.56[W/(m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·K)]</w:t>
            </w:r>
          </w:p>
        </w:tc>
      </w:tr>
      <w:tr w14:paraId="345D9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977DAB0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太阳辐射吸收系数</w:t>
            </w:r>
          </w:p>
        </w:tc>
        <w:tc>
          <w:tcPr>
            <w:tcW w:w="695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506FFE4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ρ= 0.50</w:t>
            </w:r>
          </w:p>
        </w:tc>
      </w:tr>
    </w:tbl>
    <w:p w14:paraId="0A77CFA6">
      <w:pPr>
        <w:autoSpaceDE/>
        <w:autoSpaceDN/>
        <w:adjustRightInd/>
        <w:spacing w:beforeLines="0" w:afterLines="0" w:line="360" w:lineRule="auto"/>
        <w:ind w:left="-361" w:leftChars="-172" w:right="-506" w:rightChars="-241"/>
        <w:jc w:val="center"/>
        <w:outlineLvl w:val="0"/>
        <w:rPr>
          <w:rFonts w:hint="default" w:ascii="Times New Roman" w:hAnsi="Times New Roman"/>
          <w:position w:val="10"/>
          <w:sz w:val="21"/>
          <w:szCs w:val="24"/>
          <w:lang w:val="en-US" w:eastAsia="zh-CN"/>
        </w:rPr>
      </w:pPr>
    </w:p>
    <w:p w14:paraId="13FC9EEB">
      <w:pPr>
        <w:spacing w:before="100" w:beforeLines="0" w:after="100" w:afterLines="0"/>
        <w:jc w:val="center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>表8 屋面平均传热系数计算表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20" w:type="dxa"/>
          <w:bottom w:w="0" w:type="dxa"/>
          <w:right w:w="120" w:type="dxa"/>
        </w:tblCellMar>
      </w:tblPr>
      <w:tblGrid>
        <w:gridCol w:w="1850"/>
        <w:gridCol w:w="1850"/>
        <w:gridCol w:w="1850"/>
        <w:gridCol w:w="1850"/>
        <w:gridCol w:w="1850"/>
      </w:tblGrid>
      <w:tr w14:paraId="3E019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1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6F54ECC4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屋面构造类型</w:t>
            </w:r>
          </w:p>
        </w:tc>
        <w:tc>
          <w:tcPr>
            <w:tcW w:w="1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527297B8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传热系数[W/(m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·K)]</w:t>
            </w:r>
          </w:p>
        </w:tc>
        <w:tc>
          <w:tcPr>
            <w:tcW w:w="1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294C88DD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热惰性指标</w:t>
            </w:r>
          </w:p>
        </w:tc>
        <w:tc>
          <w:tcPr>
            <w:tcW w:w="1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0DC5D3A6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太阳辐射吸收系数</w:t>
            </w:r>
          </w:p>
        </w:tc>
        <w:tc>
          <w:tcPr>
            <w:tcW w:w="1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187E1DFB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应用面积(m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)</w:t>
            </w:r>
          </w:p>
        </w:tc>
      </w:tr>
      <w:tr w14:paraId="0690F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1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8FE4B6B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钢筋混凝土（120.00） + 挤塑聚苯板（50.00）</w:t>
            </w:r>
          </w:p>
        </w:tc>
        <w:tc>
          <w:tcPr>
            <w:tcW w:w="1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8E02CA5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0.56</w:t>
            </w:r>
          </w:p>
        </w:tc>
        <w:tc>
          <w:tcPr>
            <w:tcW w:w="1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2CBB418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2.08</w:t>
            </w:r>
          </w:p>
        </w:tc>
        <w:tc>
          <w:tcPr>
            <w:tcW w:w="1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493A8F6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0.50</w:t>
            </w:r>
          </w:p>
        </w:tc>
        <w:tc>
          <w:tcPr>
            <w:tcW w:w="1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0829696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165.66</w:t>
            </w:r>
          </w:p>
        </w:tc>
      </w:tr>
      <w:tr w14:paraId="617CF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1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4A9D5AB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屋顶全楼加权平均传热系数</w:t>
            </w:r>
          </w:p>
        </w:tc>
        <w:tc>
          <w:tcPr>
            <w:tcW w:w="740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BBCAC4A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Km = (K1.S1 + K2.S2 + K3.S3 + K4.S4 + K5.S5) / ∑S(m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) =0.56[W/(m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·K)]</w:t>
            </w:r>
          </w:p>
        </w:tc>
      </w:tr>
      <w:tr w14:paraId="7889C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1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36F4CC9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热惰性指标D</w:t>
            </w:r>
          </w:p>
        </w:tc>
        <w:tc>
          <w:tcPr>
            <w:tcW w:w="740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073284E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D = (D1.S1 + D2.S2 + D3.S3 + D4.S4 + D5.S5) / ∑S(m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) =2.08</w:t>
            </w:r>
          </w:p>
        </w:tc>
      </w:tr>
      <w:tr w14:paraId="02DE2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1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BB37B66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标准条目</w:t>
            </w:r>
          </w:p>
        </w:tc>
        <w:tc>
          <w:tcPr>
            <w:tcW w:w="740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E4517E9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《建筑节能与可再生能源利用通用规范》（GB 55015—2021）第3.1.11条乙类公共建筑屋面、外墙、楼板热工性能的要求。</w:t>
            </w:r>
          </w:p>
        </w:tc>
      </w:tr>
      <w:tr w14:paraId="7C08B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1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11F1036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结论</w:t>
            </w:r>
          </w:p>
        </w:tc>
        <w:tc>
          <w:tcPr>
            <w:tcW w:w="740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27B88A2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FF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FF"/>
                <w:kern w:val="0"/>
                <w:sz w:val="21"/>
                <w:szCs w:val="24"/>
                <w:lang w:val="en-US" w:eastAsia="zh-CN"/>
              </w:rPr>
              <w:t>0.56（限值：0.60），满足</w:t>
            </w:r>
          </w:p>
        </w:tc>
      </w:tr>
    </w:tbl>
    <w:p w14:paraId="58C6F4D3">
      <w:pPr>
        <w:autoSpaceDE/>
        <w:autoSpaceDN/>
        <w:adjustRightInd/>
        <w:spacing w:beforeLines="0" w:afterLines="0" w:line="360" w:lineRule="auto"/>
        <w:ind w:left="-361" w:leftChars="-172" w:right="-506" w:rightChars="-241"/>
        <w:jc w:val="center"/>
        <w:outlineLvl w:val="0"/>
        <w:rPr>
          <w:rFonts w:hint="default" w:ascii="Times New Roman" w:hAnsi="Times New Roman"/>
          <w:position w:val="10"/>
          <w:sz w:val="21"/>
          <w:szCs w:val="24"/>
          <w:lang w:val="en-US" w:eastAsia="zh-CN"/>
        </w:rPr>
      </w:pPr>
    </w:p>
    <w:p w14:paraId="4B8A828D">
      <w:pPr>
        <w:spacing w:before="100" w:beforeLines="0" w:after="100" w:afterLines="0"/>
        <w:jc w:val="left"/>
        <w:rPr>
          <w:rFonts w:hint="eastAsia" w:ascii="Times New Roman" w:hAnsi="Times New Roman"/>
          <w:b/>
          <w:color w:val="000000"/>
          <w:kern w:val="0"/>
          <w:position w:val="10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/>
          <w:color w:val="000000"/>
          <w:kern w:val="0"/>
          <w:position w:val="10"/>
          <w:sz w:val="24"/>
          <w:szCs w:val="24"/>
          <w:lang w:val="en-US" w:eastAsia="zh-CN"/>
        </w:rPr>
        <w:t>2.2 外墙</w:t>
      </w:r>
    </w:p>
    <w:p w14:paraId="061A6629">
      <w:pPr>
        <w:spacing w:before="100" w:beforeLines="0" w:after="100" w:afterLines="0"/>
        <w:jc w:val="left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b/>
          <w:color w:val="000000"/>
          <w:kern w:val="0"/>
          <w:position w:val="10"/>
          <w:sz w:val="21"/>
          <w:szCs w:val="24"/>
          <w:lang w:val="en-US" w:eastAsia="zh-CN"/>
        </w:rPr>
        <w:t xml:space="preserve">    外墙构造类型（填充墙1）：</w:t>
      </w: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>水泥砂浆(10.0mm) + 无机轻集料保温砂浆I型(45.0mm) + 蒸压粉煤灰砖（密度1500kg/m3)(240.0mm) + 水泥砂浆(10.0mm)</w:t>
      </w:r>
    </w:p>
    <w:p w14:paraId="5E2A5471">
      <w:pPr>
        <w:spacing w:before="100" w:beforeLines="0" w:after="100" w:afterLines="0"/>
        <w:jc w:val="center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>表9 外墙热工性能判定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20" w:type="dxa"/>
          <w:bottom w:w="0" w:type="dxa"/>
          <w:right w:w="120" w:type="dxa"/>
        </w:tblCellMar>
      </w:tblPr>
      <w:tblGrid>
        <w:gridCol w:w="2300"/>
        <w:gridCol w:w="850"/>
        <w:gridCol w:w="1300"/>
        <w:gridCol w:w="1300"/>
        <w:gridCol w:w="1300"/>
        <w:gridCol w:w="1100"/>
        <w:gridCol w:w="1100"/>
      </w:tblGrid>
      <w:tr w14:paraId="7AE1E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1551E843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外墙</w:t>
            </w:r>
          </w:p>
          <w:p w14:paraId="1982BFC5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每层材料名称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7BED8DE8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厚度</w:t>
            </w:r>
          </w:p>
          <w:p w14:paraId="6F536636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(mm)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49E1E6E3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导热系数</w:t>
            </w:r>
          </w:p>
          <w:p w14:paraId="4B76FC07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[W/(m·K)]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0BE9B58A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蓄热系数</w:t>
            </w:r>
          </w:p>
          <w:p w14:paraId="014D2497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[W/(m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·K)]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0BFA481F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热阻值</w:t>
            </w:r>
          </w:p>
          <w:p w14:paraId="30CEF38D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[(m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·K)/W]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37412C92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热惰性指</w:t>
            </w:r>
          </w:p>
          <w:p w14:paraId="3964AD61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标D=R.S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27698310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修正系数</w:t>
            </w:r>
          </w:p>
          <w:p w14:paraId="1287F2E1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α</w:t>
            </w:r>
          </w:p>
        </w:tc>
      </w:tr>
      <w:tr w14:paraId="7E3BB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9949387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水泥砂浆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3C83740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10.0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77B784E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0.930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91F38FB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11.370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306B5F0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0.011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852ACA5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0.12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A856935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1.00</w:t>
            </w:r>
          </w:p>
        </w:tc>
      </w:tr>
      <w:tr w14:paraId="1CB65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03BDC45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无机轻集料保温砂浆I型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5E3AD54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45.0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051EC96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0.070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C28B015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1.200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813CFDD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0.514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E1139B2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0.77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1212FA2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1.25</w:t>
            </w:r>
          </w:p>
        </w:tc>
      </w:tr>
      <w:tr w14:paraId="0C997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D7EB9E8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蒸压粉煤灰砖（密度1500kg/m3)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D114E4F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240.0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3BE7063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0.560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CCFBE93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7.000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CAC8B4C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0.429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F083A66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3.00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3319A27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1.00</w:t>
            </w:r>
          </w:p>
        </w:tc>
      </w:tr>
      <w:tr w14:paraId="0831C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33FAC25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水泥砂浆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D77D687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10.0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67017D5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0.930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357AE7C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11.370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A379B1F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0.011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BE83628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0.12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A83F400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1.00</w:t>
            </w:r>
          </w:p>
        </w:tc>
      </w:tr>
      <w:tr w14:paraId="74269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AD05158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外墙各层之和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0E4F1F0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305.0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CEC1C1E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20395C6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28F29C2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0.96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A0F08DF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4.02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BB297C5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 xml:space="preserve"> </w:t>
            </w:r>
          </w:p>
        </w:tc>
      </w:tr>
      <w:tr w14:paraId="037FC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445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4656F13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外墙热阻 Ro=Ri+∑R+Re=1.12[(m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·K)/W]</w:t>
            </w:r>
          </w:p>
        </w:tc>
        <w:tc>
          <w:tcPr>
            <w:tcW w:w="480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61B6B0E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Ri=0.11[(m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·K)/W];Re=0.05[(m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·K)/W]</w:t>
            </w:r>
          </w:p>
        </w:tc>
      </w:tr>
      <w:tr w14:paraId="115A3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3D253B1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外墙传热系数</w:t>
            </w:r>
          </w:p>
        </w:tc>
        <w:tc>
          <w:tcPr>
            <w:tcW w:w="695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3FA322A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K=1/Ro=0.89[W/(m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·K)]</w:t>
            </w:r>
          </w:p>
        </w:tc>
      </w:tr>
      <w:tr w14:paraId="72932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94A133B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太阳辐射吸收系数</w:t>
            </w:r>
          </w:p>
        </w:tc>
        <w:tc>
          <w:tcPr>
            <w:tcW w:w="695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69A48F4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ρ= 0.50</w:t>
            </w:r>
          </w:p>
        </w:tc>
      </w:tr>
    </w:tbl>
    <w:p w14:paraId="0A4995C8">
      <w:pPr>
        <w:spacing w:before="100" w:beforeLines="0" w:after="100" w:afterLines="0"/>
        <w:jc w:val="left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b/>
          <w:color w:val="000000"/>
          <w:kern w:val="0"/>
          <w:position w:val="10"/>
          <w:sz w:val="21"/>
          <w:szCs w:val="24"/>
          <w:lang w:val="en-US" w:eastAsia="zh-CN"/>
        </w:rPr>
        <w:t xml:space="preserve">    热桥柱构造类型（框架柱1）：</w:t>
      </w: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>水泥砂浆(10.0mm) + 无机轻集料保温砂浆I型(45.0mm) + 钢筋混凝土(240.0mm) + 水泥砂浆(10.0mm)</w:t>
      </w:r>
    </w:p>
    <w:p w14:paraId="4200C401">
      <w:pPr>
        <w:spacing w:before="100" w:beforeLines="0" w:after="100" w:afterLines="0"/>
        <w:jc w:val="center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>表10 热桥柱热工性能判定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20" w:type="dxa"/>
          <w:bottom w:w="0" w:type="dxa"/>
          <w:right w:w="120" w:type="dxa"/>
        </w:tblCellMar>
      </w:tblPr>
      <w:tblGrid>
        <w:gridCol w:w="2300"/>
        <w:gridCol w:w="850"/>
        <w:gridCol w:w="1300"/>
        <w:gridCol w:w="1300"/>
        <w:gridCol w:w="1300"/>
        <w:gridCol w:w="1100"/>
        <w:gridCol w:w="1100"/>
      </w:tblGrid>
      <w:tr w14:paraId="69E9C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5A56F9EC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热桥柱</w:t>
            </w:r>
          </w:p>
          <w:p w14:paraId="2C4D3585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每层材料名称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61C22A1D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厚度</w:t>
            </w:r>
          </w:p>
          <w:p w14:paraId="76DB30B4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(mm)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6DECE6A9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导热系数</w:t>
            </w:r>
          </w:p>
          <w:p w14:paraId="13BB74F6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[W/(m·K)]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62965AEC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蓄热系数</w:t>
            </w:r>
          </w:p>
          <w:p w14:paraId="560908C9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[W/(m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·K)]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5650DEDD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热阻值</w:t>
            </w:r>
          </w:p>
          <w:p w14:paraId="06810740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[(m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·K)/W]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71F13E47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热惰性指</w:t>
            </w:r>
          </w:p>
          <w:p w14:paraId="239910E4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标D=R.S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6B19458E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修正系数</w:t>
            </w:r>
          </w:p>
          <w:p w14:paraId="19F8D902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α</w:t>
            </w:r>
          </w:p>
        </w:tc>
      </w:tr>
      <w:tr w14:paraId="054C7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7860C2F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水泥砂浆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BB039A9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10.0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55E9BBF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0.930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0A0A382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11.370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B2B312F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0.011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922E5BE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0.12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497CEA5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1.00</w:t>
            </w:r>
          </w:p>
        </w:tc>
      </w:tr>
      <w:tr w14:paraId="4F39D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93A787D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无机轻集料保温砂浆I型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A5BC75A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45.0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701100C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0.070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D7B1193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1.200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21F1ADC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0.514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6E200DC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0.77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1DE35FD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1.25</w:t>
            </w:r>
          </w:p>
        </w:tc>
      </w:tr>
      <w:tr w14:paraId="62B7C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15CED4C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钢筋混凝土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58BF1AE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240.0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FA2D26B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1.740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666C91B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17.200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E31DD5D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0.138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F656D60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2.37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CDB0015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1.00</w:t>
            </w:r>
          </w:p>
        </w:tc>
      </w:tr>
      <w:tr w14:paraId="65FFB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B425998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水泥砂浆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BA2174F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10.0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2A0D73D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0.930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CBF080F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11.370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2991DBF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0.011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BE61010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0.12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A15380E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1.00</w:t>
            </w:r>
          </w:p>
        </w:tc>
      </w:tr>
      <w:tr w14:paraId="4610C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DF4D968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热桥柱各层之和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41E045F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305.0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981D56D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D3D0B52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2410A25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0.67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B223C2C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3.39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64CADBA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 xml:space="preserve"> </w:t>
            </w:r>
          </w:p>
        </w:tc>
      </w:tr>
      <w:tr w14:paraId="028FD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445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9BAD4B7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热桥柱热阻 Ro=Ri+∑R+Re=0.83[(m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·K)/W]</w:t>
            </w:r>
          </w:p>
        </w:tc>
        <w:tc>
          <w:tcPr>
            <w:tcW w:w="480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BAEAC88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Ri=0.11[(m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·K)/W];Re=0.05[(m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·K)/W]</w:t>
            </w:r>
          </w:p>
        </w:tc>
      </w:tr>
      <w:tr w14:paraId="033F5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7EC639A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热桥柱传热系数</w:t>
            </w:r>
          </w:p>
        </w:tc>
        <w:tc>
          <w:tcPr>
            <w:tcW w:w="695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3F11722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K=1/Ro=1.20[W/(m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·K)]</w:t>
            </w:r>
          </w:p>
        </w:tc>
      </w:tr>
    </w:tbl>
    <w:p w14:paraId="39FFF98A">
      <w:pPr>
        <w:spacing w:before="100" w:beforeLines="0" w:after="100" w:afterLines="0"/>
        <w:jc w:val="left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b/>
          <w:color w:val="000000"/>
          <w:kern w:val="0"/>
          <w:position w:val="10"/>
          <w:sz w:val="21"/>
          <w:szCs w:val="24"/>
          <w:lang w:val="en-US" w:eastAsia="zh-CN"/>
        </w:rPr>
        <w:t xml:space="preserve">    热桥梁构造类型（热桥梁1）：</w:t>
      </w: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>水泥砂浆(10.0mm) + 无机轻集料保温砂浆I型(45.0mm) + 钢筋混凝土(240.0mm) + 水泥砂浆(10.0mm)</w:t>
      </w:r>
    </w:p>
    <w:p w14:paraId="411EE905">
      <w:pPr>
        <w:spacing w:before="100" w:beforeLines="0" w:after="100" w:afterLines="0"/>
        <w:jc w:val="center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>表11 热桥梁热工性能判定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20" w:type="dxa"/>
          <w:bottom w:w="0" w:type="dxa"/>
          <w:right w:w="120" w:type="dxa"/>
        </w:tblCellMar>
      </w:tblPr>
      <w:tblGrid>
        <w:gridCol w:w="2300"/>
        <w:gridCol w:w="850"/>
        <w:gridCol w:w="1300"/>
        <w:gridCol w:w="1300"/>
        <w:gridCol w:w="1300"/>
        <w:gridCol w:w="1100"/>
        <w:gridCol w:w="1100"/>
      </w:tblGrid>
      <w:tr w14:paraId="769D6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6F722C6B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热桥梁</w:t>
            </w:r>
          </w:p>
          <w:p w14:paraId="543B1D0D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每层材料名称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5C417503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厚度</w:t>
            </w:r>
          </w:p>
          <w:p w14:paraId="1F011842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(mm)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7F1CC161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导热系数</w:t>
            </w:r>
          </w:p>
          <w:p w14:paraId="409FA8F7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[W/(m·K)]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149856B3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蓄热系数</w:t>
            </w:r>
          </w:p>
          <w:p w14:paraId="1A756A6C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[W/(m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·K)]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56F36398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热阻值</w:t>
            </w:r>
          </w:p>
          <w:p w14:paraId="18CB1FE0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[(m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·K)/W]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2336941A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热惰性指</w:t>
            </w:r>
          </w:p>
          <w:p w14:paraId="254C59FB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标D=R.S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5341740A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修正系数</w:t>
            </w:r>
          </w:p>
          <w:p w14:paraId="524147AA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α</w:t>
            </w:r>
          </w:p>
        </w:tc>
      </w:tr>
      <w:tr w14:paraId="3478C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9906F70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水泥砂浆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45B5C9F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10.0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ADD7C63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0.930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B1FF8A3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11.370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E91106A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0.011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78AAF36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0.12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A765766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1.00</w:t>
            </w:r>
          </w:p>
        </w:tc>
      </w:tr>
      <w:tr w14:paraId="308E9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95212B6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无机轻集料保温砂浆I型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FB44966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45.0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1F643FD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0.070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DAB4251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1.200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1731182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0.514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E6EB60F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0.77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067E356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1.25</w:t>
            </w:r>
          </w:p>
        </w:tc>
      </w:tr>
      <w:tr w14:paraId="22D7C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C33B77A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钢筋混凝土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06F54AD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240.0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8310F3A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1.740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3DC6BBD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17.200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C2481AA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0.138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833C52F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2.37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04D738E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1.00</w:t>
            </w:r>
          </w:p>
        </w:tc>
      </w:tr>
      <w:tr w14:paraId="4DB19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BC585E2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水泥砂浆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16452F4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10.0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7A48179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0.930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CC306C2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11.370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7231D79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0.011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C04DF5F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0.12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209BEBE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1.00</w:t>
            </w:r>
          </w:p>
        </w:tc>
      </w:tr>
      <w:tr w14:paraId="0C222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A40425D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热桥梁各层之和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523A61C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305.0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316C3ED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AB7363E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D569799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0.67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A32B1EE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3.39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408A18B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 xml:space="preserve"> </w:t>
            </w:r>
          </w:p>
        </w:tc>
      </w:tr>
      <w:tr w14:paraId="5F8A5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445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35BD830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热桥梁热阻 Ro=Ri+∑R+Re=0.83[(m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·K)/W]</w:t>
            </w:r>
          </w:p>
        </w:tc>
        <w:tc>
          <w:tcPr>
            <w:tcW w:w="480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2E44B6D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Ri=0.11[(m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·K)/W];Re=0.05[(m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·K)/W]</w:t>
            </w:r>
          </w:p>
        </w:tc>
      </w:tr>
      <w:tr w14:paraId="5753C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5DAEA0A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热桥梁传热系数</w:t>
            </w:r>
          </w:p>
        </w:tc>
        <w:tc>
          <w:tcPr>
            <w:tcW w:w="695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6F1F827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K=1/Ro=1.20[W/(m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·K)]</w:t>
            </w:r>
          </w:p>
        </w:tc>
      </w:tr>
    </w:tbl>
    <w:p w14:paraId="3AFFCE27">
      <w:pPr>
        <w:spacing w:before="100" w:beforeLines="0" w:after="100" w:afterLines="0"/>
        <w:jc w:val="left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b/>
          <w:color w:val="000000"/>
          <w:kern w:val="0"/>
          <w:position w:val="10"/>
          <w:sz w:val="21"/>
          <w:szCs w:val="24"/>
          <w:lang w:val="en-US" w:eastAsia="zh-CN"/>
        </w:rPr>
        <w:t xml:space="preserve">    热桥过梁构造类型（热桥过梁1）：</w:t>
      </w: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>水泥砂浆(10.0mm) + 无机轻集料保温砂浆I型(45.0mm) + 钢筋混凝土(240.0mm) + 水泥砂浆(10.0mm)</w:t>
      </w:r>
    </w:p>
    <w:p w14:paraId="169CB92A">
      <w:pPr>
        <w:spacing w:before="100" w:beforeLines="0" w:after="100" w:afterLines="0"/>
        <w:jc w:val="center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>表12 热桥过梁热工性能判定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20" w:type="dxa"/>
          <w:bottom w:w="0" w:type="dxa"/>
          <w:right w:w="120" w:type="dxa"/>
        </w:tblCellMar>
      </w:tblPr>
      <w:tblGrid>
        <w:gridCol w:w="2300"/>
        <w:gridCol w:w="850"/>
        <w:gridCol w:w="1300"/>
        <w:gridCol w:w="1300"/>
        <w:gridCol w:w="1300"/>
        <w:gridCol w:w="1100"/>
        <w:gridCol w:w="1100"/>
      </w:tblGrid>
      <w:tr w14:paraId="5E018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5C65AC81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热桥过梁</w:t>
            </w:r>
          </w:p>
          <w:p w14:paraId="7A3D6D6D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每层材料名称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20B61657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厚度</w:t>
            </w:r>
          </w:p>
          <w:p w14:paraId="07CA5E4F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(mm)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3E2ECD40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导热系数</w:t>
            </w:r>
          </w:p>
          <w:p w14:paraId="44DB8FDD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[W/(m·K)]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2A753D8E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蓄热系数</w:t>
            </w:r>
          </w:p>
          <w:p w14:paraId="6230268C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[W/(m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·K)]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43977FEA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热阻值</w:t>
            </w:r>
          </w:p>
          <w:p w14:paraId="38AD4187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[(m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·K)/W]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5FBA526F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热惰性指</w:t>
            </w:r>
          </w:p>
          <w:p w14:paraId="25003D3B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标D=R.S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4124EBB9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修正系数</w:t>
            </w:r>
          </w:p>
          <w:p w14:paraId="25A17CBE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α</w:t>
            </w:r>
          </w:p>
        </w:tc>
      </w:tr>
      <w:tr w14:paraId="64DB9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B7CC1E6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水泥砂浆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A9C1CBF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10.0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838E6E7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0.930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A4F2723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11.370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24799A1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0.011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C6B9CA1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0.12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EED3E67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1.00</w:t>
            </w:r>
          </w:p>
        </w:tc>
      </w:tr>
      <w:tr w14:paraId="58213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DAB380C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无机轻集料保温砂浆I型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7A76A08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45.0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28AF031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0.070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BE331D2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1.200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12F39C8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0.514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67CA79A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0.77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557463E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1.25</w:t>
            </w:r>
          </w:p>
        </w:tc>
      </w:tr>
      <w:tr w14:paraId="45747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F8D1130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钢筋混凝土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D27E26C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240.0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9E76AAF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1.740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5DCD482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17.200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C5B8948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0.138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AF5D34B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2.37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B4C3AE1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1.00</w:t>
            </w:r>
          </w:p>
        </w:tc>
      </w:tr>
      <w:tr w14:paraId="6FFA9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90DF566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水泥砂浆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041FE0E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10.0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CF57EB8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0.930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BA0AC28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11.370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2F31B19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0.011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F25A073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0.12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C54A33F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1.00</w:t>
            </w:r>
          </w:p>
        </w:tc>
      </w:tr>
      <w:tr w14:paraId="42410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029A79C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热桥过梁各层之和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44DC48F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305.0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032C81F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366BE85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1E00503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0.67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4A0F896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3.39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2010E56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 xml:space="preserve"> </w:t>
            </w:r>
          </w:p>
        </w:tc>
      </w:tr>
      <w:tr w14:paraId="3982C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445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84D4B57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热桥过梁热阻 Ro=Ri+∑R+Re=0.83[(m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·K)/W]</w:t>
            </w:r>
          </w:p>
        </w:tc>
        <w:tc>
          <w:tcPr>
            <w:tcW w:w="480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EAFEB06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Ri=0.11[(m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·K)/W];Re=0.05[(m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·K)/W]</w:t>
            </w:r>
          </w:p>
        </w:tc>
      </w:tr>
      <w:tr w14:paraId="6025B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17A0EC7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热桥过梁传热系数</w:t>
            </w:r>
          </w:p>
        </w:tc>
        <w:tc>
          <w:tcPr>
            <w:tcW w:w="695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6D13F4E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K=1/Ro=1.20[W/(m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·K)]</w:t>
            </w:r>
          </w:p>
        </w:tc>
      </w:tr>
    </w:tbl>
    <w:p w14:paraId="67BA7C27">
      <w:pPr>
        <w:spacing w:before="100" w:beforeLines="0" w:after="100" w:afterLines="0"/>
        <w:jc w:val="left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b/>
          <w:color w:val="000000"/>
          <w:kern w:val="0"/>
          <w:position w:val="10"/>
          <w:sz w:val="21"/>
          <w:szCs w:val="24"/>
          <w:lang w:val="en-US" w:eastAsia="zh-CN"/>
        </w:rPr>
        <w:t xml:space="preserve">    热桥楼板构造类型（热桥楼板1）：</w:t>
      </w: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>水泥砂浆(10.0mm) + 无机轻集料保温砂浆I型(45.0mm) + 钢筋混凝土(240.0mm)</w:t>
      </w:r>
    </w:p>
    <w:p w14:paraId="4BBF55CA">
      <w:pPr>
        <w:spacing w:before="100" w:beforeLines="0" w:after="100" w:afterLines="0"/>
        <w:jc w:val="center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>表13 热桥楼板热工性能判定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20" w:type="dxa"/>
          <w:bottom w:w="0" w:type="dxa"/>
          <w:right w:w="120" w:type="dxa"/>
        </w:tblCellMar>
      </w:tblPr>
      <w:tblGrid>
        <w:gridCol w:w="2300"/>
        <w:gridCol w:w="850"/>
        <w:gridCol w:w="1300"/>
        <w:gridCol w:w="1300"/>
        <w:gridCol w:w="1300"/>
        <w:gridCol w:w="1100"/>
        <w:gridCol w:w="1100"/>
      </w:tblGrid>
      <w:tr w14:paraId="4D6FA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054643F9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热桥楼板</w:t>
            </w:r>
          </w:p>
          <w:p w14:paraId="74A4E30C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每层材料名称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0BBFC2F9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厚度</w:t>
            </w:r>
          </w:p>
          <w:p w14:paraId="02372A90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(mm)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4B40B7EE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导热系数</w:t>
            </w:r>
          </w:p>
          <w:p w14:paraId="36E61F78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[W/(m·K)]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28749E67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蓄热系数</w:t>
            </w:r>
          </w:p>
          <w:p w14:paraId="6E45261A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[W/(m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·K)]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03E1B1CB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热阻值</w:t>
            </w:r>
          </w:p>
          <w:p w14:paraId="7665AA36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[(m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·K)/W]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7DBF7A03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热惰性指</w:t>
            </w:r>
          </w:p>
          <w:p w14:paraId="576754D3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标D=R.S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240EA951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修正系数</w:t>
            </w:r>
          </w:p>
          <w:p w14:paraId="692FBC51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α</w:t>
            </w:r>
          </w:p>
        </w:tc>
      </w:tr>
      <w:tr w14:paraId="02E5E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FCBA5C7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水泥砂浆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9D7F697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10.0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2B6F1C1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0.930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AE5A9AE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11.370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6ABB9D2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0.011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2503A1A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0.12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4326FD5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1.00</w:t>
            </w:r>
          </w:p>
        </w:tc>
      </w:tr>
      <w:tr w14:paraId="3C44C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F2E96D4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无机轻集料保温砂浆I型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662EEAF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45.0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565A3D3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0.070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4F89EBC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1.200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B8DAC7E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0.514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4D63589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0.77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B36E369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1.25</w:t>
            </w:r>
          </w:p>
        </w:tc>
      </w:tr>
      <w:tr w14:paraId="472A3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4539ED4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钢筋混凝土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2D8F584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240.0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D00202C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1.740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333E215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17.200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D3B8930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0.138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FEDE394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2.37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A5CF566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1.00</w:t>
            </w:r>
          </w:p>
        </w:tc>
      </w:tr>
      <w:tr w14:paraId="63328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BB9E729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热桥楼板各层之和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66F487C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295.0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CE6C267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C496A83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005004A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0.66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20CB557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3.27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3508869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 xml:space="preserve"> </w:t>
            </w:r>
          </w:p>
        </w:tc>
      </w:tr>
      <w:tr w14:paraId="69B1F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445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15DA0A5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热桥楼板热阻 Ro=Ri+∑R+Re=0.82[(m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·K)/W]</w:t>
            </w:r>
          </w:p>
        </w:tc>
        <w:tc>
          <w:tcPr>
            <w:tcW w:w="480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1DDC2EF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Ri=0.11[(m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·K)/W];Re=0.05[(m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·K)/W]</w:t>
            </w:r>
          </w:p>
        </w:tc>
      </w:tr>
      <w:tr w14:paraId="2894A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2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3065E7B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热桥楼板传热系数</w:t>
            </w:r>
          </w:p>
        </w:tc>
        <w:tc>
          <w:tcPr>
            <w:tcW w:w="695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7AA4696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K=1/Ro=1.22[W/(m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·K)]</w:t>
            </w:r>
          </w:p>
        </w:tc>
      </w:tr>
    </w:tbl>
    <w:p w14:paraId="5ECAF47F">
      <w:pPr>
        <w:autoSpaceDE/>
        <w:autoSpaceDN/>
        <w:adjustRightInd/>
        <w:spacing w:beforeLines="0" w:afterLines="0" w:line="360" w:lineRule="auto"/>
        <w:ind w:left="-361" w:leftChars="-172" w:right="-506" w:rightChars="-241"/>
        <w:jc w:val="center"/>
        <w:outlineLvl w:val="0"/>
        <w:rPr>
          <w:rFonts w:hint="default" w:ascii="Times New Roman" w:hAnsi="Times New Roman"/>
          <w:position w:val="10"/>
          <w:sz w:val="21"/>
          <w:szCs w:val="24"/>
          <w:lang w:val="en-US" w:eastAsia="zh-CN"/>
        </w:rPr>
      </w:pPr>
    </w:p>
    <w:p w14:paraId="47A9C79E">
      <w:pPr>
        <w:spacing w:before="100" w:beforeLines="0" w:after="100" w:afterLines="0"/>
        <w:jc w:val="center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>表14 外墙平均传热系数判定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20" w:type="dxa"/>
          <w:bottom w:w="0" w:type="dxa"/>
          <w:right w:w="120" w:type="dxa"/>
        </w:tblCellMar>
      </w:tblPr>
      <w:tblGrid>
        <w:gridCol w:w="1540"/>
        <w:gridCol w:w="1540"/>
        <w:gridCol w:w="1540"/>
        <w:gridCol w:w="1540"/>
        <w:gridCol w:w="1540"/>
        <w:gridCol w:w="1540"/>
      </w:tblGrid>
      <w:tr w14:paraId="2211B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1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31F6E637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构件名称</w:t>
            </w:r>
          </w:p>
        </w:tc>
        <w:tc>
          <w:tcPr>
            <w:tcW w:w="1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5FF553F6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面积(m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)</w:t>
            </w:r>
          </w:p>
        </w:tc>
        <w:tc>
          <w:tcPr>
            <w:tcW w:w="1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2F618B63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面积所占比率</w:t>
            </w:r>
          </w:p>
        </w:tc>
        <w:tc>
          <w:tcPr>
            <w:tcW w:w="1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4B5D1CE3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传热系数K[W/(m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·K)]</w:t>
            </w:r>
          </w:p>
        </w:tc>
        <w:tc>
          <w:tcPr>
            <w:tcW w:w="1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4C6203DC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热惰性指标D</w:t>
            </w:r>
          </w:p>
        </w:tc>
        <w:tc>
          <w:tcPr>
            <w:tcW w:w="1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4D9EEA40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太阳辐射吸收系数</w:t>
            </w:r>
          </w:p>
        </w:tc>
      </w:tr>
      <w:tr w14:paraId="639E1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1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0955231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外墙（填充墙1）</w:t>
            </w:r>
          </w:p>
        </w:tc>
        <w:tc>
          <w:tcPr>
            <w:tcW w:w="1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5D5B7D2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180.54</w:t>
            </w:r>
          </w:p>
        </w:tc>
        <w:tc>
          <w:tcPr>
            <w:tcW w:w="1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6C03F13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0.79</w:t>
            </w:r>
          </w:p>
        </w:tc>
        <w:tc>
          <w:tcPr>
            <w:tcW w:w="1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1BED546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0.89</w:t>
            </w:r>
          </w:p>
        </w:tc>
        <w:tc>
          <w:tcPr>
            <w:tcW w:w="1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362C73F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4.02</w:t>
            </w:r>
          </w:p>
        </w:tc>
        <w:tc>
          <w:tcPr>
            <w:tcW w:w="1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8B1A154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0.50</w:t>
            </w:r>
          </w:p>
        </w:tc>
      </w:tr>
      <w:tr w14:paraId="3D379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1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BA46220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热桥柱（框架柱1）</w:t>
            </w:r>
          </w:p>
        </w:tc>
        <w:tc>
          <w:tcPr>
            <w:tcW w:w="1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C2EE140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19.20</w:t>
            </w:r>
          </w:p>
        </w:tc>
        <w:tc>
          <w:tcPr>
            <w:tcW w:w="1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CD51A39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0.08</w:t>
            </w:r>
          </w:p>
        </w:tc>
        <w:tc>
          <w:tcPr>
            <w:tcW w:w="1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052A284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1.20</w:t>
            </w:r>
          </w:p>
        </w:tc>
        <w:tc>
          <w:tcPr>
            <w:tcW w:w="1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F3A9921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3.39</w:t>
            </w:r>
          </w:p>
        </w:tc>
        <w:tc>
          <w:tcPr>
            <w:tcW w:w="1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BD92D62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0.50</w:t>
            </w:r>
          </w:p>
        </w:tc>
      </w:tr>
      <w:tr w14:paraId="02336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1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81CE8DD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热桥梁（热桥梁1）</w:t>
            </w:r>
          </w:p>
        </w:tc>
        <w:tc>
          <w:tcPr>
            <w:tcW w:w="1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B2EABBB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20.72</w:t>
            </w:r>
          </w:p>
        </w:tc>
        <w:tc>
          <w:tcPr>
            <w:tcW w:w="1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E007D6B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0.09</w:t>
            </w:r>
          </w:p>
        </w:tc>
        <w:tc>
          <w:tcPr>
            <w:tcW w:w="1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673DE0D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1.20</w:t>
            </w:r>
          </w:p>
        </w:tc>
        <w:tc>
          <w:tcPr>
            <w:tcW w:w="1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CC6E8D6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3.39</w:t>
            </w:r>
          </w:p>
        </w:tc>
        <w:tc>
          <w:tcPr>
            <w:tcW w:w="1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9109176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0.50</w:t>
            </w:r>
          </w:p>
        </w:tc>
      </w:tr>
      <w:tr w14:paraId="4E4BA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1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5333090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热桥过梁（热桥过梁1）</w:t>
            </w:r>
          </w:p>
        </w:tc>
        <w:tc>
          <w:tcPr>
            <w:tcW w:w="1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F87420C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1.59</w:t>
            </w:r>
          </w:p>
        </w:tc>
        <w:tc>
          <w:tcPr>
            <w:tcW w:w="1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14FBB78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0.01</w:t>
            </w:r>
          </w:p>
        </w:tc>
        <w:tc>
          <w:tcPr>
            <w:tcW w:w="1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2821F40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1.20</w:t>
            </w:r>
          </w:p>
        </w:tc>
        <w:tc>
          <w:tcPr>
            <w:tcW w:w="1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BCCC0E8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3.39</w:t>
            </w:r>
          </w:p>
        </w:tc>
        <w:tc>
          <w:tcPr>
            <w:tcW w:w="1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C34BCDC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0.50</w:t>
            </w:r>
          </w:p>
        </w:tc>
      </w:tr>
      <w:tr w14:paraId="6810A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1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EB6984E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热桥楼板（热桥楼板1）</w:t>
            </w:r>
          </w:p>
        </w:tc>
        <w:tc>
          <w:tcPr>
            <w:tcW w:w="1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3F3904A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6.54</w:t>
            </w:r>
          </w:p>
        </w:tc>
        <w:tc>
          <w:tcPr>
            <w:tcW w:w="1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2A7F029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0.03</w:t>
            </w:r>
          </w:p>
        </w:tc>
        <w:tc>
          <w:tcPr>
            <w:tcW w:w="1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257EFE0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1.22</w:t>
            </w:r>
          </w:p>
        </w:tc>
        <w:tc>
          <w:tcPr>
            <w:tcW w:w="1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5FFA139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3.27</w:t>
            </w:r>
          </w:p>
        </w:tc>
        <w:tc>
          <w:tcPr>
            <w:tcW w:w="1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A4B4761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0.50</w:t>
            </w:r>
          </w:p>
        </w:tc>
      </w:tr>
      <w:tr w14:paraId="5CAFF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1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29B57CD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外墙平均传热系数Km</w:t>
            </w:r>
          </w:p>
        </w:tc>
        <w:tc>
          <w:tcPr>
            <w:tcW w:w="770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3B147ED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Km = (K1.S1 + K2.S2 + K3.S3 + K4.S4 + K5.S5) / ∑S(m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) =0.96[W/(m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·K)]</w:t>
            </w:r>
          </w:p>
        </w:tc>
      </w:tr>
      <w:tr w14:paraId="2701D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1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8E8BB86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热惰性指标Dm</w:t>
            </w:r>
          </w:p>
        </w:tc>
        <w:tc>
          <w:tcPr>
            <w:tcW w:w="770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5D6C538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Dm = (D1.S1 + D2.S2 + D3.S3 + D4.S4 + D5.S5) / ∑S(m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) =3.88</w:t>
            </w:r>
          </w:p>
        </w:tc>
      </w:tr>
      <w:tr w14:paraId="37BF4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1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0C1A9DD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标准条目</w:t>
            </w:r>
          </w:p>
        </w:tc>
        <w:tc>
          <w:tcPr>
            <w:tcW w:w="770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9567AEF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《建筑节能与可再生能源利用通用规范》（GB 55015—2021）第3.1.11条乙类公共建筑屋面、外墙、楼板热工性能的要求。</w:t>
            </w:r>
          </w:p>
        </w:tc>
      </w:tr>
      <w:tr w14:paraId="16E08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1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ABAC9A2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结论</w:t>
            </w:r>
          </w:p>
        </w:tc>
        <w:tc>
          <w:tcPr>
            <w:tcW w:w="770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8D1C736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FF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FF"/>
                <w:kern w:val="0"/>
                <w:sz w:val="21"/>
                <w:szCs w:val="24"/>
                <w:lang w:val="en-US" w:eastAsia="zh-CN"/>
              </w:rPr>
              <w:t>0.96（限值：1.00），满足</w:t>
            </w:r>
          </w:p>
        </w:tc>
      </w:tr>
    </w:tbl>
    <w:p w14:paraId="0DD14323">
      <w:pPr>
        <w:autoSpaceDE/>
        <w:autoSpaceDN/>
        <w:adjustRightInd/>
        <w:spacing w:beforeLines="0" w:afterLines="0" w:line="360" w:lineRule="auto"/>
        <w:ind w:left="-361" w:leftChars="-172" w:right="-506" w:rightChars="-241"/>
        <w:jc w:val="center"/>
        <w:outlineLvl w:val="0"/>
        <w:rPr>
          <w:rFonts w:hint="default" w:ascii="Times New Roman" w:hAnsi="Times New Roman"/>
          <w:position w:val="10"/>
          <w:sz w:val="21"/>
          <w:szCs w:val="24"/>
          <w:lang w:val="en-US" w:eastAsia="zh-CN"/>
        </w:rPr>
      </w:pPr>
    </w:p>
    <w:p w14:paraId="508D8C4D">
      <w:pPr>
        <w:spacing w:before="100" w:beforeLines="0" w:after="100" w:afterLines="0"/>
        <w:jc w:val="left"/>
        <w:rPr>
          <w:rFonts w:hint="eastAsia" w:ascii="Times New Roman" w:hAnsi="Times New Roman"/>
          <w:b/>
          <w:color w:val="000000"/>
          <w:kern w:val="0"/>
          <w:position w:val="10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/>
          <w:color w:val="000000"/>
          <w:kern w:val="0"/>
          <w:position w:val="10"/>
          <w:sz w:val="24"/>
          <w:szCs w:val="24"/>
          <w:lang w:val="en-US" w:eastAsia="zh-CN"/>
        </w:rPr>
        <w:t>2.3 底部接触空气的架空楼板</w:t>
      </w:r>
    </w:p>
    <w:p w14:paraId="4C240357">
      <w:pPr>
        <w:spacing w:before="100" w:beforeLines="0" w:after="100" w:afterLines="0"/>
        <w:jc w:val="center"/>
        <w:rPr>
          <w:rFonts w:hint="eastAsia" w:ascii="Times New Roman" w:hAnsi="Times New Roman"/>
          <w:b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b/>
          <w:color w:val="000000"/>
          <w:kern w:val="0"/>
          <w:position w:val="10"/>
          <w:sz w:val="21"/>
          <w:szCs w:val="24"/>
          <w:lang w:val="en-US" w:eastAsia="zh-CN"/>
        </w:rPr>
        <w:t>无此项</w:t>
      </w:r>
    </w:p>
    <w:p w14:paraId="06574C31">
      <w:pPr>
        <w:spacing w:before="100" w:beforeLines="0" w:after="100" w:afterLines="0"/>
        <w:jc w:val="left"/>
        <w:rPr>
          <w:rFonts w:hint="eastAsia" w:ascii="Times New Roman" w:hAnsi="Times New Roman"/>
          <w:b/>
          <w:color w:val="000000"/>
          <w:kern w:val="0"/>
          <w:position w:val="10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/>
          <w:color w:val="000000"/>
          <w:kern w:val="0"/>
          <w:position w:val="10"/>
          <w:sz w:val="24"/>
          <w:szCs w:val="24"/>
          <w:lang w:val="en-US" w:eastAsia="zh-CN"/>
        </w:rPr>
        <w:t>2.4 外窗（含透明幕墙）传热系数</w:t>
      </w:r>
    </w:p>
    <w:p w14:paraId="2C98D1BC">
      <w:pPr>
        <w:spacing w:before="100" w:beforeLines="0" w:after="100" w:afterLines="0"/>
        <w:jc w:val="left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b/>
          <w:color w:val="000000"/>
          <w:kern w:val="0"/>
          <w:position w:val="10"/>
          <w:sz w:val="21"/>
          <w:szCs w:val="24"/>
          <w:lang w:val="en-US" w:eastAsia="zh-CN"/>
        </w:rPr>
        <w:t xml:space="preserve">    外窗构造类型（外窗1）：</w:t>
      </w: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>断桥铝窗框(Low-E中空SuperSE-I)5mm+9A+5mm(可见光透射比为0.61，遮阳系数为0.6）</w:t>
      </w:r>
    </w:p>
    <w:p w14:paraId="277C92B9">
      <w:pPr>
        <w:spacing w:before="100" w:beforeLines="0" w:after="100" w:afterLines="0"/>
        <w:jc w:val="center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>表15 立面外窗传热系数判定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20" w:type="dxa"/>
          <w:bottom w:w="0" w:type="dxa"/>
          <w:right w:w="120" w:type="dxa"/>
        </w:tblCellMar>
      </w:tblPr>
      <w:tblGrid>
        <w:gridCol w:w="550"/>
        <w:gridCol w:w="1000"/>
        <w:gridCol w:w="2700"/>
        <w:gridCol w:w="1000"/>
        <w:gridCol w:w="1000"/>
        <w:gridCol w:w="1000"/>
        <w:gridCol w:w="1000"/>
        <w:gridCol w:w="1000"/>
      </w:tblGrid>
      <w:tr w14:paraId="7964D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1C74C6CD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朝向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22CACDFA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立面</w:t>
            </w:r>
          </w:p>
        </w:tc>
        <w:tc>
          <w:tcPr>
            <w:tcW w:w="2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7CDF83D6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规格型号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030BE3B1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外窗面积(m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)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189038A3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传热系数</w:t>
            </w:r>
          </w:p>
          <w:p w14:paraId="07ABC0F2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[W/(m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·K)]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4181E76E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立面窗墙比（包括透光幕墙）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0AAF29B5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加权传热系数</w:t>
            </w:r>
          </w:p>
          <w:p w14:paraId="2872FF56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[W/(m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·K)]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53A826B0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传热系数限值</w:t>
            </w:r>
          </w:p>
          <w:p w14:paraId="6957D8FC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[W/(m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·K)]</w:t>
            </w:r>
          </w:p>
        </w:tc>
      </w:tr>
      <w:tr w14:paraId="055FE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5C90B17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西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E2A7262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立面1</w:t>
            </w:r>
          </w:p>
        </w:tc>
        <w:tc>
          <w:tcPr>
            <w:tcW w:w="2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32E4E3D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断桥铝窗框(Low-E中空SuperSE-I)5mm+9A+5mm(可见光透射比为0.61，遮阳系数为0.6）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77E32FF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20.34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0905398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2.40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AC74FE8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0.28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C1BE4CA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2.40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CC6DED3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3.0</w:t>
            </w:r>
          </w:p>
        </w:tc>
      </w:tr>
      <w:tr w14:paraId="3B034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C5014FA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北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CD9C8E7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立面2</w:t>
            </w:r>
          </w:p>
        </w:tc>
        <w:tc>
          <w:tcPr>
            <w:tcW w:w="2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6498B8E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断桥铝窗框(Low-E中空SuperSE-I)5mm+9A+5mm(可见光透射比为0.61，遮阳系数为0.6）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317F615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31.95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4807FF4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2.40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2232C7B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0.46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A8C3DE6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2.40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8379035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3.0</w:t>
            </w:r>
          </w:p>
        </w:tc>
      </w:tr>
      <w:tr w14:paraId="7E686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15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AC07168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标准条目</w:t>
            </w:r>
          </w:p>
        </w:tc>
        <w:tc>
          <w:tcPr>
            <w:tcW w:w="770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A6F63BD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《建筑节能与可再生能源利用通用规范》（GB 55015—2021）第3.1.11条乙类公共建筑外窗（包括透光幕墙）热工性能的要求。</w:t>
            </w:r>
          </w:p>
        </w:tc>
      </w:tr>
      <w:tr w14:paraId="2AB8A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15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0E3CC5B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结论</w:t>
            </w:r>
          </w:p>
        </w:tc>
        <w:tc>
          <w:tcPr>
            <w:tcW w:w="770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E0B9513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FF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FF"/>
                <w:kern w:val="0"/>
                <w:sz w:val="21"/>
                <w:szCs w:val="24"/>
                <w:lang w:val="en-US" w:eastAsia="zh-CN"/>
              </w:rPr>
              <w:t>满足</w:t>
            </w:r>
          </w:p>
        </w:tc>
      </w:tr>
    </w:tbl>
    <w:p w14:paraId="7A65881E">
      <w:pPr>
        <w:autoSpaceDE/>
        <w:autoSpaceDN/>
        <w:adjustRightInd/>
        <w:spacing w:beforeLines="0" w:afterLines="0" w:line="360" w:lineRule="auto"/>
        <w:ind w:left="-361" w:leftChars="-172" w:right="-506" w:rightChars="-241"/>
        <w:jc w:val="center"/>
        <w:outlineLvl w:val="0"/>
        <w:rPr>
          <w:rFonts w:hint="default" w:ascii="Times New Roman" w:hAnsi="Times New Roman"/>
          <w:position w:val="10"/>
          <w:sz w:val="21"/>
          <w:szCs w:val="24"/>
          <w:lang w:val="en-US" w:eastAsia="zh-CN"/>
        </w:rPr>
      </w:pPr>
    </w:p>
    <w:p w14:paraId="738ACACE">
      <w:pPr>
        <w:spacing w:before="100" w:beforeLines="0" w:after="100" w:afterLines="0"/>
        <w:jc w:val="left"/>
        <w:rPr>
          <w:rFonts w:hint="eastAsia" w:ascii="Times New Roman" w:hAnsi="Times New Roman"/>
          <w:b/>
          <w:color w:val="000000"/>
          <w:kern w:val="0"/>
          <w:position w:val="10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/>
          <w:color w:val="000000"/>
          <w:kern w:val="0"/>
          <w:position w:val="10"/>
          <w:sz w:val="24"/>
          <w:szCs w:val="24"/>
          <w:lang w:val="en-US" w:eastAsia="zh-CN"/>
        </w:rPr>
        <w:t>2.5 外窗（含透明幕墙）太阳得热系数</w:t>
      </w:r>
    </w:p>
    <w:p w14:paraId="7ACEB044">
      <w:pPr>
        <w:spacing w:before="100" w:beforeLines="0" w:after="100" w:afterLines="0"/>
        <w:jc w:val="center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>表16 太阳得热系数SHGC判断表（立面）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20" w:type="dxa"/>
          <w:bottom w:w="0" w:type="dxa"/>
          <w:right w:w="120" w:type="dxa"/>
        </w:tblCellMar>
      </w:tblPr>
      <w:tblGrid>
        <w:gridCol w:w="850"/>
        <w:gridCol w:w="1200"/>
        <w:gridCol w:w="1200"/>
        <w:gridCol w:w="1200"/>
        <w:gridCol w:w="1200"/>
        <w:gridCol w:w="1200"/>
        <w:gridCol w:w="1200"/>
        <w:gridCol w:w="1200"/>
      </w:tblGrid>
      <w:tr w14:paraId="47FB7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54647C6B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朝向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2D301C9B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立面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05FD402A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玻璃太阳得热系数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170A3CFC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窗框系数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13310FA0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外遮阳系数SD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5F9E9863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立面窗墙比（包括透光幕墙）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37E27A08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综合太阳得热系数SHGC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39ACAAAB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SHGC限值</w:t>
            </w:r>
          </w:p>
        </w:tc>
      </w:tr>
      <w:tr w14:paraId="3378B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C95C84C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西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F35BA77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立面1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8682E4E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0.52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55D4526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0.85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34E9C05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1.00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4BA5F09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0.28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E696EA3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0.44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93E3709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≤0.45</w:t>
            </w:r>
          </w:p>
        </w:tc>
      </w:tr>
      <w:tr w14:paraId="61649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2CCA5D1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北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4F540AB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立面2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F6A1F72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0.52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B014AC7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0.85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FA6AB12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1.00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F73A85D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0.46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CDA4131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0.44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32FB99D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≤0.45</w:t>
            </w:r>
          </w:p>
        </w:tc>
      </w:tr>
      <w:tr w14:paraId="0B162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2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3AD69D5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标准条目</w:t>
            </w:r>
          </w:p>
        </w:tc>
        <w:tc>
          <w:tcPr>
            <w:tcW w:w="720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044A0B4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《建筑节能与可再生能源利用通用规范》（GB 55015—2021）第3.1.11条乙类公共建筑外窗（包括透光幕墙）热工性能的要求。</w:t>
            </w:r>
          </w:p>
        </w:tc>
      </w:tr>
      <w:tr w14:paraId="6D259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2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3624FB4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结论</w:t>
            </w:r>
          </w:p>
        </w:tc>
        <w:tc>
          <w:tcPr>
            <w:tcW w:w="720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E250B7E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FF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FF"/>
                <w:kern w:val="0"/>
                <w:sz w:val="21"/>
                <w:szCs w:val="24"/>
                <w:lang w:val="en-US" w:eastAsia="zh-CN"/>
              </w:rPr>
              <w:t>满足</w:t>
            </w:r>
          </w:p>
        </w:tc>
      </w:tr>
    </w:tbl>
    <w:p w14:paraId="2E709A61">
      <w:pPr>
        <w:autoSpaceDE/>
        <w:autoSpaceDN/>
        <w:adjustRightInd/>
        <w:spacing w:beforeLines="0" w:afterLines="0" w:line="360" w:lineRule="auto"/>
        <w:ind w:left="-361" w:leftChars="-172" w:right="-506" w:rightChars="-241"/>
        <w:jc w:val="center"/>
        <w:outlineLvl w:val="0"/>
        <w:rPr>
          <w:rFonts w:hint="default" w:ascii="Times New Roman" w:hAnsi="Times New Roman"/>
          <w:position w:val="10"/>
          <w:sz w:val="21"/>
          <w:szCs w:val="24"/>
          <w:lang w:val="en-US" w:eastAsia="zh-CN"/>
        </w:rPr>
      </w:pPr>
    </w:p>
    <w:p w14:paraId="18C9144E">
      <w:pPr>
        <w:spacing w:before="100" w:beforeLines="0" w:after="100" w:afterLines="0"/>
        <w:jc w:val="left"/>
        <w:rPr>
          <w:rFonts w:hint="eastAsia" w:ascii="Times New Roman" w:hAnsi="Times New Roman"/>
          <w:b/>
          <w:color w:val="000000"/>
          <w:kern w:val="0"/>
          <w:position w:val="10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/>
          <w:color w:val="000000"/>
          <w:kern w:val="0"/>
          <w:position w:val="10"/>
          <w:sz w:val="24"/>
          <w:szCs w:val="24"/>
          <w:lang w:val="en-US" w:eastAsia="zh-CN"/>
        </w:rPr>
        <w:t>2.6 屋顶透光部分传热系数</w:t>
      </w:r>
    </w:p>
    <w:p w14:paraId="3261F87E">
      <w:pPr>
        <w:spacing w:before="100" w:beforeLines="0" w:after="100" w:afterLines="0"/>
        <w:jc w:val="left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b/>
          <w:color w:val="000000"/>
          <w:kern w:val="0"/>
          <w:position w:val="10"/>
          <w:sz w:val="21"/>
          <w:szCs w:val="24"/>
          <w:lang w:val="en-US" w:eastAsia="zh-CN"/>
        </w:rPr>
        <w:t xml:space="preserve">    屋面透光部位构造类型（天窗1）：</w:t>
      </w: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>断桥铝窗框(Low-E中空SuperSE-I)5mm+9A+5mm(可见光透射比为0.61，遮阳系数为0.6）</w:t>
      </w:r>
    </w:p>
    <w:p w14:paraId="5574F038">
      <w:pPr>
        <w:spacing w:before="100" w:beforeLines="0" w:after="100" w:afterLines="0"/>
        <w:jc w:val="center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>表17 屋面透光部位传热系数判定表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20" w:type="dxa"/>
          <w:bottom w:w="0" w:type="dxa"/>
          <w:right w:w="120" w:type="dxa"/>
        </w:tblCellMar>
      </w:tblPr>
      <w:tblGrid>
        <w:gridCol w:w="1540"/>
        <w:gridCol w:w="1540"/>
        <w:gridCol w:w="1540"/>
        <w:gridCol w:w="1540"/>
        <w:gridCol w:w="1540"/>
        <w:gridCol w:w="1540"/>
      </w:tblGrid>
      <w:tr w14:paraId="5A715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1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16C56CB8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屋面透光部分窗框</w:t>
            </w:r>
          </w:p>
        </w:tc>
        <w:tc>
          <w:tcPr>
            <w:tcW w:w="1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7EF99109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屋面透光部分玻璃</w:t>
            </w:r>
          </w:p>
        </w:tc>
        <w:tc>
          <w:tcPr>
            <w:tcW w:w="1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5FE58490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屋面透光部分面积</w:t>
            </w:r>
          </w:p>
        </w:tc>
        <w:tc>
          <w:tcPr>
            <w:tcW w:w="1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5706D8D8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传热系数[W/(m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·K)]</w:t>
            </w:r>
          </w:p>
        </w:tc>
        <w:tc>
          <w:tcPr>
            <w:tcW w:w="1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381254C3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全楼加权屋面透光部分传热系数</w:t>
            </w:r>
          </w:p>
        </w:tc>
        <w:tc>
          <w:tcPr>
            <w:tcW w:w="1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77B0AEBC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限值</w:t>
            </w:r>
          </w:p>
        </w:tc>
      </w:tr>
      <w:tr w14:paraId="330B6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1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0D12224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断桥铝窗框(Low-E中空SuperSE-I)</w:t>
            </w:r>
          </w:p>
        </w:tc>
        <w:tc>
          <w:tcPr>
            <w:tcW w:w="1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EB0E0E0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5mm+9A+5mm(可见光透射比为0.61，遮阳系数为0.6）</w:t>
            </w:r>
          </w:p>
        </w:tc>
        <w:tc>
          <w:tcPr>
            <w:tcW w:w="1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89362FD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20.40</w:t>
            </w:r>
          </w:p>
        </w:tc>
        <w:tc>
          <w:tcPr>
            <w:tcW w:w="1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C3A9E13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2.40</w:t>
            </w:r>
          </w:p>
        </w:tc>
        <w:tc>
          <w:tcPr>
            <w:tcW w:w="1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A2548EE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2.40</w:t>
            </w:r>
          </w:p>
        </w:tc>
        <w:tc>
          <w:tcPr>
            <w:tcW w:w="1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AA5861D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3.0</w:t>
            </w:r>
          </w:p>
        </w:tc>
      </w:tr>
      <w:tr w14:paraId="0B3E4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1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F546DB3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标准条目</w:t>
            </w:r>
          </w:p>
        </w:tc>
        <w:tc>
          <w:tcPr>
            <w:tcW w:w="770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280AC2D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《建筑节能与可再生能源利用通用规范》（GB 55015—2021）第3.1.11条乙类公共建筑外窗（包括透光幕墙）热工性能的要求。</w:t>
            </w:r>
          </w:p>
        </w:tc>
      </w:tr>
      <w:tr w14:paraId="06787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1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9D55726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结论</w:t>
            </w:r>
          </w:p>
        </w:tc>
        <w:tc>
          <w:tcPr>
            <w:tcW w:w="770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E086619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FF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FF"/>
                <w:kern w:val="0"/>
                <w:sz w:val="21"/>
                <w:szCs w:val="24"/>
                <w:lang w:val="en-US" w:eastAsia="zh-CN"/>
              </w:rPr>
              <w:t>满足</w:t>
            </w:r>
          </w:p>
        </w:tc>
      </w:tr>
    </w:tbl>
    <w:p w14:paraId="692E0A6E">
      <w:pPr>
        <w:autoSpaceDE/>
        <w:autoSpaceDN/>
        <w:adjustRightInd/>
        <w:spacing w:beforeLines="0" w:afterLines="0" w:line="360" w:lineRule="auto"/>
        <w:ind w:left="-361" w:leftChars="-172" w:right="-506" w:rightChars="-241"/>
        <w:jc w:val="center"/>
        <w:outlineLvl w:val="0"/>
        <w:rPr>
          <w:rFonts w:hint="default" w:ascii="Times New Roman" w:hAnsi="Times New Roman"/>
          <w:position w:val="10"/>
          <w:sz w:val="21"/>
          <w:szCs w:val="24"/>
          <w:lang w:val="en-US" w:eastAsia="zh-CN"/>
        </w:rPr>
      </w:pPr>
    </w:p>
    <w:p w14:paraId="3B9BA7E5">
      <w:pPr>
        <w:spacing w:before="100" w:beforeLines="0" w:after="100" w:afterLines="0"/>
        <w:jc w:val="left"/>
        <w:rPr>
          <w:rFonts w:hint="eastAsia" w:ascii="Times New Roman" w:hAnsi="Times New Roman"/>
          <w:b/>
          <w:color w:val="000000"/>
          <w:kern w:val="0"/>
          <w:position w:val="10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/>
          <w:color w:val="000000"/>
          <w:kern w:val="0"/>
          <w:position w:val="10"/>
          <w:sz w:val="24"/>
          <w:szCs w:val="24"/>
          <w:lang w:val="en-US" w:eastAsia="zh-CN"/>
        </w:rPr>
        <w:t>2.7 屋顶透光部分太阳得热系数</w:t>
      </w:r>
    </w:p>
    <w:p w14:paraId="74B49C09">
      <w:pPr>
        <w:spacing w:before="100" w:beforeLines="0" w:after="100" w:afterLines="0"/>
        <w:jc w:val="center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>表18 屋面透光部位太阳得热系数判定表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20" w:type="dxa"/>
          <w:bottom w:w="0" w:type="dxa"/>
          <w:right w:w="120" w:type="dxa"/>
        </w:tblCellMar>
      </w:tblPr>
      <w:tblGrid>
        <w:gridCol w:w="1540"/>
        <w:gridCol w:w="1540"/>
        <w:gridCol w:w="1540"/>
        <w:gridCol w:w="1540"/>
        <w:gridCol w:w="1540"/>
        <w:gridCol w:w="1540"/>
      </w:tblGrid>
      <w:tr w14:paraId="5F7F2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1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06E61E37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屋面透光部分窗框</w:t>
            </w:r>
          </w:p>
        </w:tc>
        <w:tc>
          <w:tcPr>
            <w:tcW w:w="1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6F40DC0A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屋面透光部分玻璃</w:t>
            </w:r>
          </w:p>
        </w:tc>
        <w:tc>
          <w:tcPr>
            <w:tcW w:w="1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77AC4D27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屋面透光部分面积</w:t>
            </w:r>
          </w:p>
        </w:tc>
        <w:tc>
          <w:tcPr>
            <w:tcW w:w="1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5B197761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太阳得热系数</w:t>
            </w:r>
          </w:p>
        </w:tc>
        <w:tc>
          <w:tcPr>
            <w:tcW w:w="1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2B17214A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全楼加权屋面透光部分太阳得热系数</w:t>
            </w:r>
          </w:p>
        </w:tc>
        <w:tc>
          <w:tcPr>
            <w:tcW w:w="1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71B98A5B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限值</w:t>
            </w:r>
          </w:p>
        </w:tc>
      </w:tr>
      <w:tr w14:paraId="67C15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1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E561053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断桥铝窗框(Low-E中空SuperSE-I)</w:t>
            </w:r>
          </w:p>
        </w:tc>
        <w:tc>
          <w:tcPr>
            <w:tcW w:w="1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1B9F00A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5mm+9A+5mm(可见光透射比为0.61，遮阳系数为0.6）</w:t>
            </w:r>
          </w:p>
        </w:tc>
        <w:tc>
          <w:tcPr>
            <w:tcW w:w="1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58434A9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20.40</w:t>
            </w:r>
          </w:p>
        </w:tc>
        <w:tc>
          <w:tcPr>
            <w:tcW w:w="1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F3FF9BC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0.30</w:t>
            </w:r>
          </w:p>
        </w:tc>
        <w:tc>
          <w:tcPr>
            <w:tcW w:w="1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97DF99D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0.30</w:t>
            </w:r>
          </w:p>
        </w:tc>
        <w:tc>
          <w:tcPr>
            <w:tcW w:w="1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2D830B2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0.35</w:t>
            </w:r>
          </w:p>
        </w:tc>
      </w:tr>
      <w:tr w14:paraId="42816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1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22CFBAE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标准条目</w:t>
            </w:r>
          </w:p>
        </w:tc>
        <w:tc>
          <w:tcPr>
            <w:tcW w:w="770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CF9D9AF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《建筑节能与可再生能源利用通用规范》（GB 55015—2021）第3.1.11条乙类公共建筑外窗（包括透光幕墙）热工性能的要求。</w:t>
            </w:r>
          </w:p>
        </w:tc>
      </w:tr>
      <w:tr w14:paraId="039F8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1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04DC90E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结论</w:t>
            </w:r>
          </w:p>
        </w:tc>
        <w:tc>
          <w:tcPr>
            <w:tcW w:w="770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DAF9B23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FF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FF"/>
                <w:kern w:val="0"/>
                <w:sz w:val="21"/>
                <w:szCs w:val="24"/>
                <w:lang w:val="en-US" w:eastAsia="zh-CN"/>
              </w:rPr>
              <w:t>满足</w:t>
            </w:r>
          </w:p>
        </w:tc>
      </w:tr>
    </w:tbl>
    <w:p w14:paraId="0DFDF03C">
      <w:pPr>
        <w:autoSpaceDE/>
        <w:autoSpaceDN/>
        <w:adjustRightInd/>
        <w:spacing w:beforeLines="0" w:afterLines="0" w:line="360" w:lineRule="auto"/>
        <w:ind w:left="-361" w:leftChars="-172" w:right="-506" w:rightChars="-241"/>
        <w:jc w:val="center"/>
        <w:outlineLvl w:val="0"/>
        <w:rPr>
          <w:rFonts w:hint="default" w:ascii="Times New Roman" w:hAnsi="Times New Roman"/>
          <w:position w:val="10"/>
          <w:sz w:val="21"/>
          <w:szCs w:val="24"/>
          <w:lang w:val="en-US" w:eastAsia="zh-CN"/>
        </w:rPr>
      </w:pPr>
    </w:p>
    <w:p w14:paraId="47DAAA28">
      <w:pPr>
        <w:spacing w:before="100" w:beforeLines="0" w:after="100" w:afterLines="0"/>
        <w:jc w:val="left"/>
        <w:rPr>
          <w:rFonts w:hint="eastAsia" w:ascii="Times New Roman" w:hAnsi="Times New Roman"/>
          <w:b/>
          <w:color w:val="000000"/>
          <w:kern w:val="0"/>
          <w:position w:val="10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/>
          <w:color w:val="000000"/>
          <w:kern w:val="0"/>
          <w:position w:val="10"/>
          <w:sz w:val="24"/>
          <w:szCs w:val="24"/>
          <w:lang w:val="en-US" w:eastAsia="zh-CN"/>
        </w:rPr>
        <w:t>2.8 底层大堂非中空玻璃幕墙面积占整个立面窗面积比例</w:t>
      </w:r>
    </w:p>
    <w:p w14:paraId="46067D43">
      <w:pPr>
        <w:spacing w:before="100" w:beforeLines="0" w:after="100" w:afterLines="0"/>
        <w:jc w:val="center"/>
        <w:rPr>
          <w:rFonts w:hint="eastAsia" w:ascii="Times New Roman" w:hAnsi="Times New Roman"/>
          <w:b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b/>
          <w:color w:val="000000"/>
          <w:kern w:val="0"/>
          <w:position w:val="10"/>
          <w:sz w:val="21"/>
          <w:szCs w:val="24"/>
          <w:lang w:val="en-US" w:eastAsia="zh-CN"/>
        </w:rPr>
        <w:t>无此项</w:t>
      </w:r>
    </w:p>
    <w:p w14:paraId="6F132BA5">
      <w:pPr>
        <w:spacing w:before="200" w:beforeLines="0" w:after="200" w:afterLines="0"/>
        <w:jc w:val="left"/>
        <w:rPr>
          <w:rFonts w:hint="eastAsia" w:ascii="Times New Roman" w:hAnsi="Times New Roman"/>
          <w:b/>
          <w:color w:val="000000"/>
          <w:kern w:val="0"/>
          <w:position w:val="10"/>
          <w:sz w:val="32"/>
          <w:szCs w:val="24"/>
          <w:lang w:val="en-US" w:eastAsia="zh-CN"/>
        </w:rPr>
      </w:pPr>
      <w:r>
        <w:rPr>
          <w:rFonts w:hint="eastAsia" w:ascii="Times New Roman" w:hAnsi="Times New Roman"/>
          <w:b/>
          <w:color w:val="000000"/>
          <w:kern w:val="0"/>
          <w:position w:val="10"/>
          <w:sz w:val="32"/>
          <w:szCs w:val="24"/>
          <w:lang w:val="en-US" w:eastAsia="zh-CN"/>
        </w:rPr>
        <w:t>六、规定性指标结论</w:t>
      </w:r>
    </w:p>
    <w:p w14:paraId="7D52EAD3">
      <w:pPr>
        <w:spacing w:before="150" w:beforeLines="0" w:after="150" w:afterLines="0"/>
        <w:jc w:val="left"/>
        <w:rPr>
          <w:rFonts w:hint="eastAsia" w:ascii="Times New Roman" w:hAnsi="Times New Roman"/>
          <w:b/>
          <w:color w:val="000000"/>
          <w:kern w:val="0"/>
          <w:position w:val="10"/>
          <w:sz w:val="28"/>
          <w:szCs w:val="24"/>
          <w:lang w:val="en-US" w:eastAsia="zh-CN"/>
        </w:rPr>
      </w:pPr>
      <w:r>
        <w:rPr>
          <w:rFonts w:hint="eastAsia" w:ascii="Times New Roman" w:hAnsi="Times New Roman"/>
          <w:b/>
          <w:color w:val="000000"/>
          <w:kern w:val="0"/>
          <w:position w:val="10"/>
          <w:sz w:val="28"/>
          <w:szCs w:val="24"/>
          <w:lang w:val="en-US" w:eastAsia="zh-CN"/>
        </w:rPr>
        <w:t>1 规定性指标判定情况</w:t>
      </w:r>
    </w:p>
    <w:p w14:paraId="34D6C0F1">
      <w:pPr>
        <w:spacing w:before="100" w:beforeLines="0" w:after="100" w:afterLines="0"/>
        <w:jc w:val="center"/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position w:val="10"/>
          <w:sz w:val="21"/>
          <w:szCs w:val="24"/>
          <w:lang w:val="en-US" w:eastAsia="zh-CN"/>
        </w:rPr>
        <w:t>表19 规定性指标判定情况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20" w:type="dxa"/>
          <w:bottom w:w="0" w:type="dxa"/>
          <w:right w:w="120" w:type="dxa"/>
        </w:tblCellMar>
      </w:tblPr>
      <w:tblGrid>
        <w:gridCol w:w="800"/>
        <w:gridCol w:w="5000"/>
        <w:gridCol w:w="1200"/>
        <w:gridCol w:w="1200"/>
        <w:gridCol w:w="1050"/>
      </w:tblGrid>
      <w:tr w14:paraId="6156B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6D6733D6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序号</w:t>
            </w:r>
          </w:p>
        </w:tc>
        <w:tc>
          <w:tcPr>
            <w:tcW w:w="5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54BFDB37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建筑构件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7401C736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设计值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16051258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标准限值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D9D9D9" w:fill="D9D9D9"/>
            <w:noWrap w:val="0"/>
            <w:vAlign w:val="center"/>
          </w:tcPr>
          <w:p w14:paraId="67718A34">
            <w:pPr>
              <w:spacing w:before="100" w:beforeLines="0" w:after="100" w:afterLines="0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是否达标</w:t>
            </w:r>
          </w:p>
        </w:tc>
      </w:tr>
      <w:tr w14:paraId="46E1E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2390604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1</w:t>
            </w:r>
          </w:p>
        </w:tc>
        <w:tc>
          <w:tcPr>
            <w:tcW w:w="5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4D178AF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屋顶透光部分与屋顶总面积之比满足《建筑节能与可再生能源利用通用规范》（GB 55015—2021）第3.1.6条的要求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5C6CC10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0.11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0D3A006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≤ 0.20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526C276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FF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FF"/>
                <w:kern w:val="0"/>
                <w:sz w:val="21"/>
                <w:szCs w:val="24"/>
                <w:lang w:val="en-US" w:eastAsia="zh-CN"/>
              </w:rPr>
              <w:t>满足</w:t>
            </w:r>
          </w:p>
        </w:tc>
      </w:tr>
      <w:tr w14:paraId="3BA59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305D5C5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</w:t>
            </w:r>
          </w:p>
        </w:tc>
        <w:tc>
          <w:tcPr>
            <w:tcW w:w="5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5F0889C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屋面满足《建筑节能与可再生能源利用通用规范》（GB 55015—2021）第3.1.11条的要求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0938F5D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K = 0.56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CD10889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K ≤ 0.60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131AC76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FF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FF"/>
                <w:kern w:val="0"/>
                <w:sz w:val="21"/>
                <w:szCs w:val="24"/>
                <w:lang w:val="en-US" w:eastAsia="zh-CN"/>
              </w:rPr>
              <w:t>满足</w:t>
            </w:r>
          </w:p>
        </w:tc>
      </w:tr>
      <w:tr w14:paraId="06741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C9745B9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3</w:t>
            </w:r>
          </w:p>
        </w:tc>
        <w:tc>
          <w:tcPr>
            <w:tcW w:w="5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A58AB0F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外墙满足《建筑节能与可再生能源利用通用规范》（GB 55015—2021）第3.1.11条的要求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7BADE56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K = 0.96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4F9ECDB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K ≤ 1.00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60DD4B9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FF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FF"/>
                <w:kern w:val="0"/>
                <w:sz w:val="21"/>
                <w:szCs w:val="24"/>
                <w:lang w:val="en-US" w:eastAsia="zh-CN"/>
              </w:rPr>
              <w:t>满足</w:t>
            </w:r>
          </w:p>
        </w:tc>
      </w:tr>
      <w:tr w14:paraId="3DB2F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23C1E56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4</w:t>
            </w:r>
          </w:p>
        </w:tc>
        <w:tc>
          <w:tcPr>
            <w:tcW w:w="5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16F7274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外窗（含透明幕墙）传热系数满足《建筑节能与可再生能源利用通用规范》（GB 55015—2021）第3.1.11条的要求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BED5D39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K = 2.40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E45FE55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K ≤ 3.0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18F0040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FF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FF"/>
                <w:kern w:val="0"/>
                <w:sz w:val="21"/>
                <w:szCs w:val="24"/>
                <w:lang w:val="en-US" w:eastAsia="zh-CN"/>
              </w:rPr>
              <w:t>满足</w:t>
            </w:r>
          </w:p>
        </w:tc>
      </w:tr>
      <w:tr w14:paraId="126AE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84C543D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5</w:t>
            </w:r>
          </w:p>
        </w:tc>
        <w:tc>
          <w:tcPr>
            <w:tcW w:w="5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C27B6DB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外窗（含透明幕墙）太阳得热系数满足《建筑节能与可再生能源利用通用规范》（GB 55015—2021）第3.1.11条的要求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02BCAD0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0.44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0F9DB40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≤ 0.45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26C9712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FF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FF"/>
                <w:kern w:val="0"/>
                <w:sz w:val="21"/>
                <w:szCs w:val="24"/>
                <w:lang w:val="en-US" w:eastAsia="zh-CN"/>
              </w:rPr>
              <w:t>满足</w:t>
            </w:r>
          </w:p>
        </w:tc>
      </w:tr>
      <w:tr w14:paraId="39E16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0E9308A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6</w:t>
            </w:r>
          </w:p>
        </w:tc>
        <w:tc>
          <w:tcPr>
            <w:tcW w:w="5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F5874EE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屋顶透光部分传热系数满足《建筑节能与可再生能源利用通用规范》（GB 55015—2021）第3.1.11条的要求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CBEA188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K = 2.40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CE6C997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K ≤ 3.0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D1E0D5F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FF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FF"/>
                <w:kern w:val="0"/>
                <w:sz w:val="21"/>
                <w:szCs w:val="24"/>
                <w:lang w:val="en-US" w:eastAsia="zh-CN"/>
              </w:rPr>
              <w:t>满足</w:t>
            </w:r>
          </w:p>
        </w:tc>
      </w:tr>
      <w:tr w14:paraId="4A16F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70BBE31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7</w:t>
            </w:r>
          </w:p>
        </w:tc>
        <w:tc>
          <w:tcPr>
            <w:tcW w:w="5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0B95E9E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屋顶透光部分太阳得热系数满足《建筑节能与可再生能源利用通用规范》（GB 55015—2021）第3.1.11条的要求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AAB2F67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Shgc = 0.30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E8C0A50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Shgc ≤ 0.35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791F11D">
            <w:pPr>
              <w:spacing w:before="100" w:beforeLines="0" w:after="100" w:afterLines="0"/>
              <w:jc w:val="left"/>
              <w:rPr>
                <w:rFonts w:hint="eastAsia" w:ascii="Times New Roman" w:hAnsi="Times New Roman"/>
                <w:color w:val="0000FF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FF"/>
                <w:kern w:val="0"/>
                <w:sz w:val="21"/>
                <w:szCs w:val="24"/>
                <w:lang w:val="en-US" w:eastAsia="zh-CN"/>
              </w:rPr>
              <w:t>满足</w:t>
            </w:r>
          </w:p>
        </w:tc>
      </w:tr>
    </w:tbl>
    <w:p w14:paraId="3106649E">
      <w:pPr>
        <w:spacing w:before="100" w:beforeLines="0" w:after="100" w:afterLines="0"/>
        <w:jc w:val="left"/>
        <w:rPr>
          <w:rFonts w:hint="eastAsia" w:ascii="Times New Roman" w:hAnsi="Times New Roman"/>
          <w:color w:val="000000"/>
          <w:kern w:val="0"/>
          <w:position w:val="10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/>
          <w:color w:val="000000"/>
          <w:kern w:val="0"/>
          <w:position w:val="10"/>
          <w:sz w:val="24"/>
          <w:szCs w:val="24"/>
          <w:lang w:val="en-US" w:eastAsia="zh-CN"/>
        </w:rPr>
        <w:t>规定性指标判定结论：</w:t>
      </w:r>
      <w:r>
        <w:rPr>
          <w:rFonts w:hint="eastAsia" w:ascii="Times New Roman" w:hAnsi="Times New Roman"/>
          <w:color w:val="000000"/>
          <w:kern w:val="0"/>
          <w:position w:val="10"/>
          <w:sz w:val="24"/>
          <w:szCs w:val="24"/>
          <w:lang w:val="en-US" w:eastAsia="zh-CN"/>
        </w:rPr>
        <w:t>本项目规定性指标</w:t>
      </w:r>
      <w:r>
        <w:rPr>
          <w:rFonts w:hint="eastAsia" w:ascii="Times New Roman" w:hAnsi="Times New Roman"/>
          <w:color w:val="0000FF"/>
          <w:kern w:val="0"/>
          <w:position w:val="10"/>
          <w:sz w:val="24"/>
          <w:szCs w:val="24"/>
          <w:lang w:val="en-US" w:eastAsia="zh-CN"/>
        </w:rPr>
        <w:t>满足</w:t>
      </w:r>
      <w:r>
        <w:rPr>
          <w:rFonts w:hint="eastAsia" w:ascii="Times New Roman" w:hAnsi="Times New Roman"/>
          <w:color w:val="000000"/>
          <w:kern w:val="0"/>
          <w:position w:val="10"/>
          <w:sz w:val="24"/>
          <w:szCs w:val="24"/>
          <w:lang w:val="en-US" w:eastAsia="zh-CN"/>
        </w:rPr>
        <w:t>《建筑节能与可再生能源利用通用规范》（GB 55015—2021）的规范要求。</w:t>
      </w:r>
    </w:p>
    <w:sectPr>
      <w:headerReference r:id="rId3" w:type="default"/>
      <w:footerReference r:id="rId4" w:type="default"/>
      <w:type w:val="continuous"/>
      <w:pgSz w:w="12240" w:h="15840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698BA5">
    <w:pPr>
      <w:spacing w:before="100" w:beforeLines="0" w:after="100" w:afterLines="0"/>
      <w:rPr>
        <w:rFonts w:hint="eastAsia" w:ascii="Times New Roman" w:hAnsi="Times New Roman"/>
        <w:color w:val="000000"/>
        <w:kern w:val="0"/>
        <w:position w:val="10"/>
        <w:sz w:val="21"/>
        <w:szCs w:val="24"/>
        <w:lang w:val="en-US" w:eastAsia="zh-CN"/>
      </w:rPr>
    </w:pPr>
    <w:r>
      <w:rPr>
        <w:rFonts w:hint="eastAsia" w:ascii="Times New Roman" w:hAnsi="Times New Roman"/>
        <w:color w:val="000000"/>
        <w:kern w:val="0"/>
        <w:position w:val="10"/>
        <w:sz w:val="21"/>
        <w:szCs w:val="24"/>
        <w:lang w:val="en-US" w:eastAsia="zh-CN"/>
      </w:rPr>
      <w:t>https://www.pkpm.cn/                 第</w:t>
    </w:r>
    <w:r>
      <w:rPr>
        <w:rFonts w:hint="eastAsia" w:ascii="Times New Roman" w:hAnsi="Times New Roman"/>
        <w:color w:val="000000"/>
        <w:kern w:val="0"/>
        <w:position w:val="10"/>
        <w:sz w:val="21"/>
        <w:szCs w:val="24"/>
        <w:lang w:val="en-US" w:eastAsia="zh-CN"/>
      </w:rPr>
      <w:fldChar w:fldCharType="begin"/>
    </w:r>
    <w:r>
      <w:rPr>
        <w:rFonts w:hint="eastAsia" w:ascii="Times New Roman" w:hAnsi="Times New Roman"/>
        <w:color w:val="000000"/>
        <w:kern w:val="0"/>
        <w:position w:val="10"/>
        <w:sz w:val="21"/>
        <w:szCs w:val="24"/>
        <w:lang w:val="en-US" w:eastAsia="zh-CN"/>
      </w:rPr>
      <w:instrText xml:space="preserve">PAGE</w:instrText>
    </w:r>
    <w:r>
      <w:rPr>
        <w:rFonts w:hint="eastAsia" w:ascii="Times New Roman" w:hAnsi="Times New Roman"/>
        <w:color w:val="000000"/>
        <w:kern w:val="0"/>
        <w:position w:val="10"/>
        <w:sz w:val="21"/>
        <w:szCs w:val="24"/>
        <w:lang w:val="en-US" w:eastAsia="zh-CN"/>
      </w:rPr>
      <w:fldChar w:fldCharType="separate"/>
    </w:r>
    <w:r>
      <w:rPr>
        <w:rFonts w:hint="eastAsia" w:ascii="Times New Roman" w:hAnsi="Times New Roman"/>
        <w:color w:val="000000"/>
        <w:kern w:val="0"/>
        <w:position w:val="10"/>
        <w:sz w:val="21"/>
        <w:szCs w:val="24"/>
        <w:lang w:val="en-US" w:eastAsia="zh-CN"/>
      </w:rPr>
      <w:fldChar w:fldCharType="end"/>
    </w:r>
    <w:r>
      <w:rPr>
        <w:rFonts w:hint="eastAsia" w:ascii="Times New Roman" w:hAnsi="Times New Roman"/>
        <w:color w:val="000000"/>
        <w:kern w:val="0"/>
        <w:position w:val="10"/>
        <w:sz w:val="21"/>
        <w:szCs w:val="24"/>
        <w:lang w:val="en-US" w:eastAsia="zh-CN"/>
      </w:rPr>
      <w:t>页 共</w:t>
    </w:r>
    <w:r>
      <w:rPr>
        <w:rFonts w:hint="eastAsia" w:ascii="Times New Roman" w:hAnsi="Times New Roman"/>
        <w:color w:val="000000"/>
        <w:kern w:val="0"/>
        <w:position w:val="10"/>
        <w:sz w:val="21"/>
        <w:szCs w:val="24"/>
        <w:lang w:val="en-US" w:eastAsia="zh-CN"/>
      </w:rPr>
      <w:fldChar w:fldCharType="begin"/>
    </w:r>
    <w:r>
      <w:rPr>
        <w:rFonts w:hint="eastAsia" w:ascii="Times New Roman" w:hAnsi="Times New Roman"/>
        <w:color w:val="000000"/>
        <w:kern w:val="0"/>
        <w:position w:val="10"/>
        <w:sz w:val="21"/>
        <w:szCs w:val="24"/>
        <w:lang w:val="en-US" w:eastAsia="zh-CN"/>
      </w:rPr>
      <w:instrText xml:space="preserve">NUMPAGES</w:instrText>
    </w:r>
    <w:r>
      <w:rPr>
        <w:rFonts w:hint="eastAsia" w:ascii="Times New Roman" w:hAnsi="Times New Roman"/>
        <w:color w:val="000000"/>
        <w:kern w:val="0"/>
        <w:position w:val="10"/>
        <w:sz w:val="21"/>
        <w:szCs w:val="24"/>
        <w:lang w:val="en-US" w:eastAsia="zh-CN"/>
      </w:rPr>
      <w:fldChar w:fldCharType="separate"/>
    </w:r>
    <w:r>
      <w:rPr>
        <w:rFonts w:hint="eastAsia" w:ascii="Times New Roman" w:hAnsi="Times New Roman"/>
        <w:color w:val="000000"/>
        <w:kern w:val="0"/>
        <w:position w:val="10"/>
        <w:sz w:val="21"/>
        <w:szCs w:val="24"/>
        <w:lang w:val="en-US" w:eastAsia="zh-CN"/>
      </w:rPr>
      <w:fldChar w:fldCharType="end"/>
    </w:r>
    <w:r>
      <w:rPr>
        <w:rFonts w:hint="eastAsia" w:ascii="Times New Roman" w:hAnsi="Times New Roman"/>
        <w:color w:val="000000"/>
        <w:kern w:val="0"/>
        <w:position w:val="10"/>
        <w:sz w:val="21"/>
        <w:szCs w:val="24"/>
        <w:lang w:val="en-US" w:eastAsia="zh-CN"/>
      </w:rPr>
      <w:t>页                          20230927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51D24C">
    <w:pPr>
      <w:pBdr>
        <w:bottom w:val="single" w:color="auto" w:sz="6" w:space="1"/>
      </w:pBdr>
      <w:spacing w:before="100" w:beforeLines="0" w:after="100" w:afterLines="0"/>
      <w:rPr>
        <w:rFonts w:hint="eastAsia" w:ascii="宋体" w:hAnsi="Times New Roman"/>
        <w:color w:val="000000"/>
        <w:kern w:val="0"/>
        <w:position w:val="10"/>
        <w:sz w:val="21"/>
        <w:szCs w:val="24"/>
        <w:lang w:val="en-US" w:eastAsia="zh-CN"/>
      </w:rPr>
    </w:pPr>
    <w:r>
      <w:rPr>
        <w:rFonts w:hint="default" w:ascii="Times New Roman" w:hAnsi="Times New Roman" w:eastAsia="Times New Roman"/>
        <w:color w:val="000000"/>
        <w:kern w:val="0"/>
        <w:position w:val="10"/>
        <w:sz w:val="24"/>
        <w:szCs w:val="24"/>
        <w:lang w:val="en-US" w:eastAsia="zh-CN"/>
      </w:rPr>
      <w:drawing>
        <wp:inline distT="0" distB="0" distL="114300" distR="114300">
          <wp:extent cx="631825" cy="123825"/>
          <wp:effectExtent l="0" t="0" r="0" b="0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1825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Times New Roman" w:hAnsi="Times New Roman"/>
        <w:color w:val="000000"/>
        <w:kern w:val="0"/>
        <w:position w:val="10"/>
        <w:sz w:val="21"/>
        <w:szCs w:val="24"/>
        <w:lang w:val="en-US" w:eastAsia="zh-CN"/>
      </w:rPr>
      <w:t xml:space="preserve">                                                                  报告书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NmNmY2VhNzMyZjAzMTc4NTAzNTcyNGQ4OTdmYTIifQ=="/>
  </w:docVars>
  <w:rsids>
    <w:rsidRoot w:val="00172A27"/>
    <w:rsid w:val="10F20DDB"/>
    <w:rsid w:val="24C309ED"/>
    <w:rsid w:val="280271EB"/>
    <w:rsid w:val="28E54CF2"/>
    <w:rsid w:val="4CF0565F"/>
    <w:rsid w:val="546F2718"/>
    <w:rsid w:val="5F1F23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4250</Words>
  <Characters>7008</Characters>
  <TotalTime>49</TotalTime>
  <ScaleCrop>false</ScaleCrop>
  <LinksUpToDate>false</LinksUpToDate>
  <CharactersWithSpaces>7640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2024-09-10T01:15:56Z</dcterms:created>
  <dc:creator>Administrator</dc:creator>
  <cp:lastModifiedBy>蜗牛</cp:lastModifiedBy>
  <dcterms:modified xsi:type="dcterms:W3CDTF">2024-09-10T02:23:24Z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FA3D4FFCF32943FFA61BDA98F6723540_13</vt:lpwstr>
  </property>
</Properties>
</file>