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34" w:name="_GoBack"/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bookmarkEnd w:id="134"/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二食堂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2024年11月26日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T18071947436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_Toc4461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_Toc15583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_Toc8046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_Toc8046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_Toc18815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_Toc5309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_Toc23203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_Toc23203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_Toc17988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_Toc28377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_Toc28377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_Toc2140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_Toc2140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_Toc16636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_Toc16636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_Toc2773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_Toc2186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_Toc6751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_Toc6751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_Toc11770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_Toc6663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_Toc6834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_Toc24046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供暖系统</w:t>
      </w:r>
      <w:r>
        <w:tab/>
      </w:r>
      <w:r>
        <w:fldChar w:fldCharType="begin"/>
      </w:r>
      <w:r>
        <w:instrText xml:space="preserve"> PAGEREF _Toc24046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默认热源</w:t>
      </w:r>
      <w:r>
        <w:tab/>
      </w:r>
      <w:r>
        <w:fldChar w:fldCharType="begin"/>
      </w:r>
      <w:r>
        <w:instrText xml:space="preserve"> PAGEREF _Toc18804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空调风机</w:t>
      </w:r>
      <w:r>
        <w:tab/>
      </w:r>
      <w:r>
        <w:fldChar w:fldCharType="begin"/>
      </w:r>
      <w:r>
        <w:instrText xml:space="preserve"> PAGEREF _Toc6242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独立新排风</w:t>
      </w:r>
      <w:r>
        <w:tab/>
      </w:r>
      <w:r>
        <w:fldChar w:fldCharType="begin"/>
      </w:r>
      <w:r>
        <w:instrText xml:space="preserve"> PAGEREF _Toc9096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风机盘管</w:t>
      </w:r>
      <w:r>
        <w:tab/>
      </w:r>
      <w:r>
        <w:fldChar w:fldCharType="begin"/>
      </w:r>
      <w:r>
        <w:instrText xml:space="preserve"> PAGEREF _Toc21752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_Toc22511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_Toc22511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_Toc6502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_Toc6502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_Toc1370 </w:instrText>
      </w:r>
      <w:r>
        <w:fldChar w:fldCharType="separate"/>
      </w:r>
      <w:r>
        <w:rPr>
          <w:rFonts w:hint="eastAsia"/>
        </w:rPr>
        <w:t xml:space="preserve">12 </w:t>
      </w:r>
      <w:r>
        <w:t>可再生能源利用</w:t>
      </w:r>
      <w:r>
        <w:tab/>
      </w:r>
      <w:r>
        <w:fldChar w:fldCharType="begin"/>
      </w:r>
      <w:r>
        <w:instrText xml:space="preserve"> PAGEREF _Toc1370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_Toc16933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热泵空调</w:t>
      </w:r>
      <w:r>
        <w:tab/>
      </w:r>
      <w:r>
        <w:fldChar w:fldCharType="begin"/>
      </w:r>
      <w:r>
        <w:instrText xml:space="preserve"> PAGEREF _Toc16933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计算说明</w:t>
      </w:r>
      <w:r>
        <w:tab/>
      </w:r>
      <w:r>
        <w:fldChar w:fldCharType="begin"/>
      </w:r>
      <w:r>
        <w:instrText xml:space="preserve"> PAGEREF _Toc5313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地源/空气源利用</w:t>
      </w:r>
      <w:r>
        <w:tab/>
      </w:r>
      <w:r>
        <w:fldChar w:fldCharType="begin"/>
      </w:r>
      <w:r>
        <w:instrText xml:space="preserve"> PAGEREF _Toc8482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生活热水</w:t>
      </w:r>
      <w:r>
        <w:tab/>
      </w:r>
      <w:r>
        <w:fldChar w:fldCharType="begin"/>
      </w:r>
      <w:r>
        <w:instrText xml:space="preserve"> PAGEREF _Toc20943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计算说明</w:t>
      </w:r>
      <w:r>
        <w:tab/>
      </w:r>
      <w:r>
        <w:fldChar w:fldCharType="begin"/>
      </w:r>
      <w:r>
        <w:instrText xml:space="preserve"> PAGEREF _Toc22284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太阳能利用</w:t>
      </w:r>
      <w:r>
        <w:tab/>
      </w:r>
      <w:r>
        <w:fldChar w:fldCharType="begin"/>
      </w:r>
      <w:r>
        <w:instrText xml:space="preserve"> PAGEREF _Toc30583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12.2.3 </w:t>
      </w:r>
      <w:r>
        <w:t>地源/空气源利用</w:t>
      </w:r>
      <w:r>
        <w:tab/>
      </w:r>
      <w:r>
        <w:fldChar w:fldCharType="begin"/>
      </w:r>
      <w:r>
        <w:instrText xml:space="preserve"> PAGEREF _Toc25602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可再生发电</w:t>
      </w:r>
      <w:r>
        <w:tab/>
      </w:r>
      <w:r>
        <w:fldChar w:fldCharType="begin"/>
      </w:r>
      <w:r>
        <w:instrText xml:space="preserve"> PAGEREF _Toc23152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12.3.1 </w:t>
      </w:r>
      <w:r>
        <w:t>计算说明</w:t>
      </w:r>
      <w:r>
        <w:tab/>
      </w:r>
      <w:r>
        <w:fldChar w:fldCharType="begin"/>
      </w:r>
      <w:r>
        <w:instrText xml:space="preserve"> PAGEREF _Toc4775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12.3.2 </w:t>
      </w:r>
      <w:r>
        <w:t>计算结果</w:t>
      </w:r>
      <w:r>
        <w:tab/>
      </w:r>
      <w:r>
        <w:fldChar w:fldCharType="begin"/>
      </w:r>
      <w:r>
        <w:instrText xml:space="preserve"> PAGEREF _Toc26739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综合可再生利用率</w:t>
      </w:r>
      <w:r>
        <w:tab/>
      </w:r>
      <w:r>
        <w:fldChar w:fldCharType="begin"/>
      </w:r>
      <w:r>
        <w:instrText xml:space="preserve"> PAGEREF _Toc14569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12.4.1 </w:t>
      </w:r>
      <w:r>
        <w:t>计算说明</w:t>
      </w:r>
      <w:r>
        <w:tab/>
      </w:r>
      <w:r>
        <w:fldChar w:fldCharType="begin"/>
      </w:r>
      <w:r>
        <w:instrText xml:space="preserve"> PAGEREF _Toc10854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12.4.2 </w:t>
      </w:r>
      <w:r>
        <w:t>计算结果</w:t>
      </w:r>
      <w:r>
        <w:tab/>
      </w:r>
      <w:r>
        <w:fldChar w:fldCharType="begin"/>
      </w:r>
      <w:r>
        <w:instrText xml:space="preserve"> PAGEREF _Toc25603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446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二食堂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70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7321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15.9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38799.88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5344.76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270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供暖期:11.1-3.31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5583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804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39" w:name="_Toc18815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5309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3203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798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09月01日15时</w:t>
            </w:r>
          </w:p>
        </w:tc>
        <w:tc>
          <w:tcPr>
            <w:vAlign w:val="center"/>
          </w:tcPr>
          <w:p>
            <w:r>
              <w:t>32.8</w:t>
            </w:r>
          </w:p>
        </w:tc>
        <w:tc>
          <w:tcPr>
            <w:vAlign w:val="center"/>
          </w:tcPr>
          <w:p>
            <w:r>
              <w:t>23.3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01月25日06时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-29.0</w:t>
            </w:r>
          </w:p>
        </w:tc>
      </w:tr>
    </w:tbl>
    <w:p>
      <w:pPr>
        <w:widowControl w:val="0"/>
        <w:jc w:val="both"/>
      </w:pPr>
      <w:bookmarkStart w:id="45" w:name="气象峰值工况"/>
      <w:bookmarkEnd w:id="45"/>
    </w:p>
    <w:p>
      <w:pPr>
        <w:pStyle w:val="2"/>
      </w:pPr>
      <w:bookmarkStart w:id="46" w:name="_Toc28377"/>
      <w:r>
        <w:rPr>
          <w:rFonts w:hint="eastAsia"/>
        </w:rPr>
        <w:t>太阳</w:t>
      </w:r>
      <w:r>
        <w:t>能资源</w:t>
      </w:r>
      <w:bookmarkEnd w:id="46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7" w:name="_Toc2140"/>
      <w:r>
        <w:t>建筑大样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</w:pPr>
      <w:bookmarkStart w:id="48" w:name="_Toc16636"/>
      <w:r>
        <w:t>围护结构概况</w:t>
      </w:r>
      <w:bookmarkEnd w:id="4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1.47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0" w:name="_Toc2773"/>
      <w:r>
        <w:t>房间类型</w:t>
      </w:r>
      <w:bookmarkEnd w:id="60"/>
    </w:p>
    <w:p>
      <w:pPr>
        <w:pStyle w:val="4"/>
        <w:widowControl w:val="0"/>
      </w:pPr>
      <w:bookmarkStart w:id="61" w:name="_Toc2186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2"/>
        <w:widowControl w:val="0"/>
      </w:pPr>
      <w:bookmarkStart w:id="62" w:name="_Toc6751"/>
      <w:r>
        <w:t>暖通空调系统</w:t>
      </w:r>
      <w:bookmarkEnd w:id="62"/>
    </w:p>
    <w:p>
      <w:pPr>
        <w:pStyle w:val="4"/>
        <w:widowControl w:val="0"/>
      </w:pPr>
      <w:bookmarkStart w:id="63" w:name="_Toc11770"/>
      <w:r>
        <w:t>系统类型</w:t>
      </w:r>
      <w:bookmarkEnd w:id="63"/>
    </w:p>
    <w:p>
      <w:pPr>
        <w:pStyle w:val="5"/>
        <w:widowControl w:val="0"/>
      </w:pPr>
      <w:bookmarkStart w:id="64" w:name="_Toc6663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6931.47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</w:pPr>
      <w:bookmarkStart w:id="65" w:name="_Toc6834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</w:pPr>
      <w:bookmarkStart w:id="66" w:name="_Toc24046"/>
      <w:r>
        <w:t>供暖系统</w:t>
      </w:r>
      <w:bookmarkEnd w:id="66"/>
    </w:p>
    <w:p>
      <w:pPr>
        <w:pStyle w:val="5"/>
        <w:widowControl w:val="0"/>
      </w:pPr>
      <w:bookmarkStart w:id="67" w:name="_Toc18804"/>
      <w:r>
        <w:t>默认热源</w:t>
      </w:r>
      <w:bookmarkEnd w:id="67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</w:t>
            </w:r>
          </w:p>
        </w:tc>
      </w:tr>
    </w:tbl>
    <w:p>
      <w:pPr>
        <w:pStyle w:val="6"/>
        <w:widowControl w:val="0"/>
      </w:pPr>
      <w:r>
        <w:t>热泵系统</w:t>
      </w:r>
    </w:p>
    <w:p>
      <w:pPr>
        <w:pStyle w:val="7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78.3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7"/>
        <w:widowControl w:val="0"/>
      </w:pPr>
      <w: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7"/>
        <w:widowControl w:val="0"/>
      </w:pPr>
      <w: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6233</w:t>
            </w:r>
          </w:p>
        </w:tc>
        <w:tc>
          <w:tcPr>
            <w:vAlign w:val="center"/>
          </w:tcPr>
          <w:p>
            <w:r>
              <w:t>147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1558</w:t>
            </w:r>
          </w:p>
        </w:tc>
        <w:tc>
          <w:tcPr>
            <w:vAlign w:val="center"/>
          </w:tcPr>
          <w:p>
            <w:r>
              <w:t>7097</w:t>
            </w:r>
          </w:p>
        </w:tc>
        <w:tc>
          <w:tcPr>
            <w:vAlign w:val="center"/>
          </w:tcPr>
          <w:p>
            <w:r>
              <w:t>1176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36403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9101</w:t>
            </w:r>
          </w:p>
        </w:tc>
        <w:tc>
          <w:tcPr>
            <w:vAlign w:val="center"/>
          </w:tcPr>
          <w:p>
            <w:r>
              <w:t>8986</w:t>
            </w:r>
          </w:p>
        </w:tc>
        <w:tc>
          <w:tcPr>
            <w:vAlign w:val="center"/>
          </w:tcPr>
          <w:p>
            <w:r>
              <w:t>1888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59613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14903</w:t>
            </w:r>
          </w:p>
        </w:tc>
        <w:tc>
          <w:tcPr>
            <w:vAlign w:val="center"/>
          </w:tcPr>
          <w:p>
            <w:r>
              <w:t>9174</w:t>
            </w:r>
          </w:p>
        </w:tc>
        <w:tc>
          <w:tcPr>
            <w:vAlign w:val="center"/>
          </w:tcPr>
          <w:p>
            <w:r>
              <w:t>1872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108455</w:t>
            </w:r>
          </w:p>
        </w:tc>
        <w:tc>
          <w:tcPr>
            <w:vAlign w:val="center"/>
          </w:tcPr>
          <w:p>
            <w:r>
              <w:t>312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27114</w:t>
            </w:r>
          </w:p>
        </w:tc>
        <w:tc>
          <w:tcPr>
            <w:vAlign w:val="center"/>
          </w:tcPr>
          <w:p>
            <w:r>
              <w:t>11919</w:t>
            </w:r>
          </w:p>
        </w:tc>
        <w:tc>
          <w:tcPr>
            <w:vAlign w:val="center"/>
          </w:tcPr>
          <w:p>
            <w:r>
              <w:t>2496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140119</w:t>
            </w:r>
          </w:p>
        </w:tc>
        <w:tc>
          <w:tcPr>
            <w:vAlign w:val="center"/>
          </w:tcPr>
          <w:p>
            <w:r>
              <w:t>313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35030</w:t>
            </w:r>
          </w:p>
        </w:tc>
        <w:tc>
          <w:tcPr>
            <w:vAlign w:val="center"/>
          </w:tcPr>
          <w:p>
            <w:r>
              <w:t>11318</w:t>
            </w:r>
          </w:p>
        </w:tc>
        <w:tc>
          <w:tcPr>
            <w:vAlign w:val="center"/>
          </w:tcPr>
          <w:p>
            <w:r>
              <w:t>2504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485290</w:t>
            </w:r>
          </w:p>
        </w:tc>
        <w:tc>
          <w:tcPr>
            <w:vAlign w:val="center"/>
          </w:tcPr>
          <w:p>
            <w:r>
              <w:t>699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87375</w:t>
            </w:r>
          </w:p>
        </w:tc>
        <w:tc>
          <w:tcPr>
            <w:vAlign w:val="center"/>
          </w:tcPr>
          <w:p>
            <w:r>
              <w:t>25906</w:t>
            </w:r>
          </w:p>
        </w:tc>
        <w:tc>
          <w:tcPr>
            <w:vAlign w:val="center"/>
          </w:tcPr>
          <w:p>
            <w:r>
              <w:t>5592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836113</w:t>
            </w:r>
          </w:p>
        </w:tc>
        <w:tc>
          <w:tcPr>
            <w:vAlign w:val="center"/>
          </w:tcPr>
          <w:p>
            <w:r>
              <w:t>1941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175081</w:t>
            </w:r>
          </w:p>
        </w:tc>
        <w:tc>
          <w:tcPr>
            <w:vAlign w:val="center"/>
          </w:tcPr>
          <w:p>
            <w:r>
              <w:t>74401</w:t>
            </w:r>
          </w:p>
        </w:tc>
        <w:tc>
          <w:tcPr>
            <w:vAlign w:val="center"/>
          </w:tcPr>
          <w:p>
            <w:r>
              <w:t>15528</w:t>
            </w:r>
          </w:p>
        </w:tc>
      </w:tr>
    </w:tbl>
    <w:p>
      <w:pPr>
        <w:pStyle w:val="4"/>
        <w:widowControl w:val="0"/>
      </w:pPr>
      <w:bookmarkStart w:id="68" w:name="_Toc6242"/>
      <w:r>
        <w:t>空调风机</w:t>
      </w:r>
      <w:bookmarkEnd w:id="68"/>
    </w:p>
    <w:p>
      <w:pPr>
        <w:pStyle w:val="5"/>
        <w:widowControl w:val="0"/>
      </w:pPr>
      <w:bookmarkStart w:id="69" w:name="_Toc9096"/>
      <w:r>
        <w:t>独立新排风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126639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30393</w:t>
            </w:r>
          </w:p>
        </w:tc>
        <w:tc>
          <w:tcPr>
            <w:vAlign w:val="center"/>
          </w:tcPr>
          <w:p>
            <w:r>
              <w:t>2132</w:t>
            </w:r>
          </w:p>
        </w:tc>
        <w:tc>
          <w:tcPr>
            <w:vAlign w:val="center"/>
          </w:tcPr>
          <w:p>
            <w:r>
              <w:t>64799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64799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101311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24315</w:t>
            </w:r>
          </w:p>
        </w:tc>
        <w:tc>
          <w:tcPr>
            <w:vAlign w:val="center"/>
          </w:tcPr>
          <w:p>
            <w:r>
              <w:t>2132</w:t>
            </w:r>
          </w:p>
        </w:tc>
        <w:tc>
          <w:tcPr>
            <w:vAlign w:val="center"/>
          </w:tcPr>
          <w:p>
            <w:r>
              <w:t>51839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51839</w:t>
            </w:r>
          </w:p>
        </w:tc>
      </w:tr>
    </w:tbl>
    <w:p>
      <w:pPr>
        <w:pStyle w:val="5"/>
        <w:widowControl w:val="0"/>
      </w:pPr>
      <w:bookmarkStart w:id="70" w:name="_Toc21752"/>
      <w:r>
        <w:t>风机盘管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1940</w:t>
            </w:r>
          </w:p>
        </w:tc>
        <w:tc>
          <w:tcPr>
            <w:vAlign w:val="center"/>
          </w:tcPr>
          <w:p>
            <w:r>
              <w:t>1165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1165</w:t>
            </w:r>
          </w:p>
        </w:tc>
      </w:tr>
    </w:tbl>
    <w:p>
      <w:pPr>
        <w:pStyle w:val="2"/>
        <w:widowControl w:val="0"/>
      </w:pPr>
      <w:bookmarkStart w:id="71" w:name="_Toc22511"/>
      <w: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7.59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362</w:t>
            </w:r>
          </w:p>
        </w:tc>
        <w:tc>
          <w:tcPr>
            <w:vAlign w:val="center"/>
          </w:tcPr>
          <w:p>
            <w:r>
              <w:t>2752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12.15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3151</w:t>
            </w:r>
          </w:p>
        </w:tc>
        <w:tc>
          <w:tcPr>
            <w:vAlign w:val="center"/>
          </w:tcPr>
          <w:p>
            <w:r>
              <w:t>38280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3718</w:t>
            </w:r>
          </w:p>
        </w:tc>
        <w:tc>
          <w:tcPr>
            <w:vAlign w:val="center"/>
          </w:tcPr>
          <w:p>
            <w:r>
              <w:t>119410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160442</w:t>
            </w:r>
          </w:p>
        </w:tc>
      </w:tr>
    </w:tbl>
    <w:p>
      <w:pPr>
        <w:pStyle w:val="2"/>
        <w:widowControl w:val="0"/>
      </w:pPr>
      <w:bookmarkStart w:id="72" w:name="_Toc6502"/>
      <w:r>
        <w:t>插座设备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362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3151</w:t>
            </w:r>
          </w:p>
        </w:tc>
        <w:tc>
          <w:tcPr>
            <w:vAlign w:val="center"/>
          </w:tcPr>
          <w:p>
            <w:r>
              <w:t>100398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47.93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3718</w:t>
            </w:r>
          </w:p>
        </w:tc>
        <w:tc>
          <w:tcPr>
            <w:vAlign w:val="center"/>
          </w:tcPr>
          <w:p>
            <w:r>
              <w:t>178190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278588</w:t>
            </w:r>
          </w:p>
        </w:tc>
      </w:tr>
    </w:tbl>
    <w:p>
      <w:pPr>
        <w:pStyle w:val="2"/>
        <w:widowControl w:val="0"/>
      </w:pPr>
      <w:bookmarkStart w:id="73" w:name="_Toc1370"/>
      <w:r>
        <w:t>可再生能源利用</w:t>
      </w:r>
      <w:bookmarkEnd w:id="73"/>
    </w:p>
    <w:p>
      <w:pPr>
        <w:pStyle w:val="4"/>
        <w:widowControl w:val="0"/>
      </w:pPr>
      <w:bookmarkStart w:id="74" w:name="_Toc16933"/>
      <w:r>
        <w:t>热泵空调</w:t>
      </w:r>
      <w:bookmarkEnd w:id="74"/>
    </w:p>
    <w:p>
      <w:pPr>
        <w:pStyle w:val="5"/>
        <w:widowControl w:val="0"/>
      </w:pPr>
      <w:bookmarkStart w:id="75" w:name="_Toc5313"/>
      <w:r>
        <w:t>计算说明</w:t>
      </w:r>
      <w:bookmarkEnd w:id="75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76" w:name="_Toc8482"/>
      <w:r>
        <w:t>地源/空气源利用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836112</w:t>
            </w:r>
          </w:p>
        </w:tc>
        <w:tc>
          <w:tcPr>
            <w:vAlign w:val="center"/>
          </w:tcPr>
          <w:p>
            <w:r>
              <w:t>175081</w:t>
            </w:r>
          </w:p>
        </w:tc>
        <w:tc>
          <w:tcPr>
            <w:vAlign w:val="center"/>
          </w:tcPr>
          <w:p>
            <w:r>
              <w:t>661031</w:t>
            </w:r>
          </w:p>
        </w:tc>
        <w:tc>
          <w:tcPr>
            <w:vAlign w:val="center"/>
          </w:tcPr>
          <w:p>
            <w:r>
              <w:t>79%</w:t>
            </w:r>
          </w:p>
        </w:tc>
      </w:tr>
    </w:tbl>
    <w:p>
      <w:pPr>
        <w:pStyle w:val="4"/>
        <w:widowControl w:val="0"/>
      </w:pPr>
      <w:bookmarkStart w:id="77" w:name="_Toc20943"/>
      <w:r>
        <w:t>生活热水</w:t>
      </w:r>
      <w:bookmarkEnd w:id="77"/>
    </w:p>
    <w:p>
      <w:pPr>
        <w:pStyle w:val="5"/>
        <w:widowControl w:val="0"/>
      </w:pPr>
      <w:bookmarkStart w:id="78" w:name="_Toc22284"/>
      <w:r>
        <w:t>计算说明</w:t>
      </w:r>
      <w:bookmarkEnd w:id="78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79" w:name="_Toc30583"/>
      <w:r>
        <w:t>太阳能利用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80" w:name="_Toc25602"/>
      <w:r>
        <w:t>地源/空气源利用</w:t>
      </w:r>
      <w:bookmarkEnd w:id="80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81" w:name="_Toc23152"/>
      <w:r>
        <w:t>可再生发电</w:t>
      </w:r>
      <w:bookmarkEnd w:id="81"/>
    </w:p>
    <w:p>
      <w:pPr>
        <w:pStyle w:val="5"/>
        <w:widowControl w:val="0"/>
      </w:pPr>
      <w:bookmarkStart w:id="82" w:name="_Toc4775"/>
      <w:r>
        <w:t>计算说明</w:t>
      </w:r>
      <w:bookmarkEnd w:id="82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83" w:name="_Toc26739"/>
      <w:r>
        <w:t>计算结果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冷却水泵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冷冻水泵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却塔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单元式空调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"/>
            <w:r>
              <w:rPr>
                <w:lang w:val="en-US"/>
              </w:rPr>
              <w:t>23.92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水泵能耗"/>
            <w:r>
              <w:rPr>
                <w:lang w:val="en-US"/>
              </w:rPr>
              <w:t>10.16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供暖热源侧水泵能耗"/>
            <w:r>
              <w:rPr>
                <w:rFonts w:hint="eastAsia"/>
                <w:lang w:val="en-US"/>
              </w:rPr>
              <w:t>2.12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热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供暖能耗"/>
            <w:r>
              <w:rPr>
                <w:lang w:val="en-US"/>
              </w:rPr>
              <w:t>36.20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新排风系统能耗"/>
            <w:r>
              <w:rPr>
                <w:rFonts w:hint="eastAsia"/>
                <w:lang w:val="en-US"/>
              </w:rPr>
              <w:t>15.93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风机盘管能耗"/>
            <w:r>
              <w:rPr>
                <w:rFonts w:hint="eastAsia"/>
                <w:lang w:val="en-US"/>
              </w:rPr>
              <w:t>0.16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多联机室内机能耗"/>
            <w:r>
              <w:rPr>
                <w:rFonts w:hint="eastAsia"/>
                <w:lang w:val="en-US"/>
              </w:rPr>
              <w:t>-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全空气系统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空调动力能耗"/>
            <w:r>
              <w:rPr>
                <w:rFonts w:hint="eastAsia"/>
                <w:lang w:val="en-US"/>
              </w:rPr>
              <w:t>16.09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照明能耗"/>
            <w:r>
              <w:rPr>
                <w:rFonts w:hint="eastAsia"/>
                <w:lang w:val="en-US"/>
              </w:rPr>
              <w:t>21.92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38.05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动力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排风机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热水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5" w:name="其他设备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0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建筑总能耗"/>
            <w:r>
              <w:rPr>
                <w:lang w:val="en-US"/>
              </w:rPr>
              <w:t>112.26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光伏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风力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可再生能源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可再生发电供电比例"/>
            <w:r>
              <w:rPr>
                <w:rFonts w:hint="eastAsia"/>
                <w:lang w:val="en-US"/>
              </w:rPr>
              <w:t>0.00</w:t>
            </w:r>
            <w:bookmarkEnd w:id="11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113" w:name="_Toc14569"/>
      <w:r>
        <w:t>综合可再生利用率</w:t>
      </w:r>
      <w:bookmarkEnd w:id="113"/>
    </w:p>
    <w:p>
      <w:pPr>
        <w:pStyle w:val="5"/>
        <w:widowControl w:val="0"/>
      </w:pPr>
      <w:bookmarkStart w:id="114" w:name="_Toc10854"/>
      <w:r>
        <w:t>计算说明</w:t>
      </w:r>
      <w:bookmarkEnd w:id="114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115" w:name="_Toc25603"/>
      <w:r>
        <w:t>计算结果</w:t>
      </w:r>
      <w:bookmarkEnd w:id="115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耗冷量2_转热量"/>
            <w:r>
              <w:rPr>
                <w:lang w:val="en-US"/>
              </w:rPr>
              <w:t>0.00</w:t>
            </w:r>
            <w:bookmarkEnd w:id="1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耗热量2_转热量"/>
            <w:r>
              <w:rPr>
                <w:lang w:val="en-US"/>
              </w:rPr>
              <w:t>114.21</w:t>
            </w:r>
            <w:bookmarkEnd w:id="1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16.09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_转热量"/>
            <w:r>
              <w:rPr>
                <w:rFonts w:hint="eastAsia"/>
                <w:lang w:val="en-US"/>
              </w:rPr>
              <w:t>41.84</w:t>
            </w:r>
            <w:bookmarkEnd w:id="11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21.92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_转热量"/>
            <w:r>
              <w:rPr>
                <w:lang w:val="en-US"/>
              </w:rPr>
              <w:t>56.98</w:t>
            </w:r>
            <w:bookmarkEnd w:id="11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38.05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_转热量"/>
            <w:r>
              <w:rPr>
                <w:rFonts w:hint="eastAsia"/>
                <w:lang w:val="en-US"/>
              </w:rPr>
              <w:t>98.94</w:t>
            </w:r>
            <w:bookmarkEnd w:id="12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_转热量"/>
            <w:r>
              <w:rPr>
                <w:lang w:val="en-US"/>
              </w:rPr>
              <w:t>0.00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_转热量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_转热量"/>
            <w:r>
              <w:rPr>
                <w:lang w:val="en-US"/>
              </w:rPr>
              <w:t>0.00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_转热量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能耗需求量合计"/>
            <w:r>
              <w:rPr>
                <w:lang w:val="en-US"/>
              </w:rPr>
              <w:t>851.86</w:t>
            </w:r>
            <w:bookmarkEnd w:id="12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热泵可再生能耗_转热量"/>
            <w:r>
              <w:rPr>
                <w:rFonts w:hint="eastAsia"/>
                <w:lang w:val="en-US"/>
              </w:rPr>
              <w:t>90.30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太阳能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利用量合计"/>
            <w:r>
              <w:rPr>
                <w:rFonts w:hint="eastAsia"/>
                <w:lang w:val="en-US"/>
              </w:rPr>
              <w:t>90.30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利用率"/>
            <w:r>
              <w:rPr>
                <w:lang w:val="en-US"/>
              </w:rPr>
              <w:t>11</w:t>
            </w:r>
            <w:bookmarkEnd w:id="133"/>
            <w:r>
              <w:rPr>
                <w:lang w:val="en-US"/>
              </w:rPr>
              <w:t>%</w:t>
            </w:r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NzllMWU2NmUyMjJiMTY2N2FkMWVmZDY1MGU2MjcifQ=="/>
  </w:docVars>
  <w:rsids>
    <w:rsidRoot w:val="0B9B00B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0B9B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duoyu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16</Pages>
  <Words>3788</Words>
  <Characters>5430</Characters>
  <Lines>26</Lines>
  <Paragraphs>7</Paragraphs>
  <TotalTime>5</TotalTime>
  <ScaleCrop>false</ScaleCrop>
  <LinksUpToDate>false</LinksUpToDate>
  <CharactersWithSpaces>5545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2024-11-26T10:36:00Z</dcterms:created>
  <dc:creator>WPS_1590190393</dc:creator>
  <cp:lastModifiedBy>WPS_1590190393</cp:lastModifiedBy>
  <dcterms:modified xsi:type="dcterms:W3CDTF">2024-11-26T10:42:03Z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C72793685B4C47B09B8EC5361C2BA31E_11</vt:lpwstr>
  </property>
  <property fmtid="{D5CDD505-2E9C-101B-9397-08002B2CF9AE}" pid="3" name="KSOProductBuildVer">
    <vt:lpwstr>2052-12.1.0.16250</vt:lpwstr>
  </property>
</Properties>
</file>