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ind w:left="-1418" w:leftChars="-675" w:firstLine="420"/>
        <w:rPr>
          <w:rFonts w:ascii="宋体" w:hAnsi="宋体"/>
          <w:b/>
          <w:bCs/>
          <w:sz w:val="32"/>
          <w:szCs w:val="32"/>
        </w:rPr>
      </w:pPr>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pPr>
        <w:spacing w:line="180" w:lineRule="atLeast"/>
        <w:rPr>
          <w:rFonts w:ascii="微软雅黑" w:hAnsi="微软雅黑" w:eastAsia="微软雅黑"/>
          <w:bCs/>
          <w:sz w:val="40"/>
          <w:szCs w:val="21"/>
          <w:lang w:val="en-US"/>
        </w:rPr>
      </w:pPr>
    </w:p>
    <w:p>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二食堂</w:t>
      </w:r>
      <w:bookmarkEnd w:id="0"/>
    </w:p>
    <w:p>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pPr>
        <w:ind w:firstLine="602"/>
        <w:jc w:val="center"/>
        <w:rPr>
          <w:rFonts w:ascii="宋体" w:hAnsi="宋体"/>
          <w:b/>
          <w:bCs/>
          <w:sz w:val="30"/>
          <w:szCs w:val="32"/>
          <w:lang w:val="en-US"/>
        </w:rPr>
      </w:pPr>
    </w:p>
    <w:p>
      <w:pPr>
        <w:ind w:firstLine="602"/>
        <w:jc w:val="center"/>
        <w:rPr>
          <w:rFonts w:ascii="宋体" w:hAnsi="宋体"/>
          <w:b/>
          <w:bCs/>
          <w:sz w:val="30"/>
          <w:szCs w:val="32"/>
          <w:lang w:val="en-US"/>
        </w:rPr>
      </w:pPr>
    </w:p>
    <w:p>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ind w:firstLine="602"/>
        <w:jc w:val="center"/>
        <w:rPr>
          <w:rFonts w:ascii="宋体" w:hAnsi="宋体"/>
          <w:b/>
          <w:bCs/>
          <w:sz w:val="30"/>
          <w:szCs w:val="32"/>
          <w:lang w:val="en-US"/>
        </w:rPr>
      </w:pPr>
    </w:p>
    <w:p>
      <w:pPr>
        <w:ind w:firstLine="602"/>
        <w:jc w:val="center"/>
        <w:rPr>
          <w:rFonts w:ascii="宋体" w:hAnsi="宋体"/>
          <w:b/>
          <w:bCs/>
          <w:sz w:val="30"/>
          <w:szCs w:val="32"/>
          <w:lang w:val="en-US"/>
        </w:rPr>
      </w:pPr>
    </w:p>
    <w:p>
      <w:pPr>
        <w:rPr>
          <w:rFonts w:ascii="宋体" w:hAnsi="宋体"/>
          <w:b/>
          <w:bCs/>
          <w:sz w:val="30"/>
          <w:szCs w:val="32"/>
          <w:lang w:val="en-US"/>
        </w:rPr>
      </w:pPr>
    </w:p>
    <w:p>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2024年11月26日</w:t>
      </w:r>
      <w:bookmarkEnd w:id="2"/>
    </w:p>
    <w:p>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_Toc17405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_Toc17405 \h </w:instrText>
      </w:r>
      <w:r>
        <w:fldChar w:fldCharType="separate"/>
      </w:r>
      <w:r>
        <w:t>4</w:t>
      </w:r>
      <w:r>
        <w:fldChar w:fldCharType="end"/>
      </w:r>
      <w:r>
        <w:rPr>
          <w:rFonts w:ascii="宋体" w:hAnsi="宋体"/>
          <w:bCs w:val="0"/>
          <w:caps/>
        </w:rPr>
        <w:fldChar w:fldCharType="end"/>
      </w:r>
    </w:p>
    <w:p>
      <w:pPr>
        <w:pStyle w:val="18"/>
        <w:tabs>
          <w:tab w:val="right" w:leader="dot" w:pos="9070"/>
          <w:tab w:val="clear" w:pos="540"/>
          <w:tab w:val="clear" w:pos="840"/>
          <w:tab w:val="clear" w:pos="9360"/>
        </w:tabs>
      </w:pPr>
      <w:r>
        <w:fldChar w:fldCharType="begin"/>
      </w:r>
      <w:r>
        <w:instrText xml:space="preserve"> HYPERLINK \l _Toc10520 </w:instrText>
      </w:r>
      <w:r>
        <w:fldChar w:fldCharType="separate"/>
      </w:r>
      <w:r>
        <w:rPr>
          <w:lang w:bidi="zh-CN"/>
        </w:rPr>
        <w:t xml:space="preserve">1.1 </w:t>
      </w:r>
      <w:r>
        <w:rPr>
          <w:rFonts w:hint="eastAsia"/>
        </w:rPr>
        <w:t>建筑模型图</w:t>
      </w:r>
      <w:r>
        <w:tab/>
      </w:r>
      <w:r>
        <w:fldChar w:fldCharType="begin"/>
      </w:r>
      <w:r>
        <w:instrText xml:space="preserve"> PAGEREF _Toc10520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_Toc5058 </w:instrText>
      </w:r>
      <w:r>
        <w:fldChar w:fldCharType="separate"/>
      </w:r>
      <w:r>
        <w:rPr>
          <w:lang w:bidi="zh-CN"/>
        </w:rPr>
        <w:t xml:space="preserve">1.2 </w:t>
      </w:r>
      <w:r>
        <w:t>主要技术措施</w:t>
      </w:r>
      <w:r>
        <w:tab/>
      </w:r>
      <w:r>
        <w:fldChar w:fldCharType="begin"/>
      </w:r>
      <w:r>
        <w:instrText xml:space="preserve"> PAGEREF _Toc5058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_Toc29504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_Toc29504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_Toc28167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_Toc28167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_Toc2781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_Toc2781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_Toc16906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_Toc16906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_Toc5099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_Toc5099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_Toc5824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_Toc5824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_Toc18631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_Toc18631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_Toc22349 </w:instrText>
      </w:r>
      <w:r>
        <w:fldChar w:fldCharType="separate"/>
      </w:r>
      <w:r>
        <w:rPr>
          <w:lang w:bidi="zh-CN"/>
        </w:rPr>
        <w:t xml:space="preserve">3.4 </w:t>
      </w:r>
      <w:r>
        <w:rPr>
          <w:rFonts w:hint="eastAsia"/>
        </w:rPr>
        <w:t>影响因素 Impact categories</w:t>
      </w:r>
      <w:r>
        <w:tab/>
      </w:r>
      <w:r>
        <w:fldChar w:fldCharType="begin"/>
      </w:r>
      <w:r>
        <w:instrText xml:space="preserve"> PAGEREF _Toc22349 \h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_Toc349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_Toc349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_Toc30711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_Toc30711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_Toc5304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_Toc5304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_Toc24567 </w:instrText>
      </w:r>
      <w:r>
        <w:fldChar w:fldCharType="separate"/>
      </w:r>
      <w:r>
        <w:rPr>
          <w:lang w:bidi="zh-CN"/>
        </w:rPr>
        <w:t xml:space="preserve">4.3 </w:t>
      </w:r>
      <w:r>
        <w:rPr>
          <w:rFonts w:hint="eastAsia"/>
        </w:rPr>
        <w:t>取舍原则 Cut-off</w:t>
      </w:r>
      <w:r>
        <w:tab/>
      </w:r>
      <w:r>
        <w:fldChar w:fldCharType="begin"/>
      </w:r>
      <w:r>
        <w:instrText xml:space="preserve"> PAGEREF _Toc24567 \h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_Toc28707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_Toc28707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_Toc9881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_Toc9881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_Toc22584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_Toc22584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_Toc26245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_Toc26245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_Toc11158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_Toc11158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_Toc16424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_Toc16424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_Toc31764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_Toc31764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_Toc11415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_Toc11415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_Toc15013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_Toc15013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_Toc3176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_Toc3176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_Toc21323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_Toc21323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_Toc31303 </w:instrText>
      </w:r>
      <w:r>
        <w:fldChar w:fldCharType="separate"/>
      </w:r>
      <w:r>
        <w:rPr>
          <w:rFonts w:hint="eastAsia" w:eastAsia="宋体"/>
          <w:szCs w:val="24"/>
          <w:lang w:val="en-GB"/>
        </w:rPr>
        <w:t xml:space="preserve">5.4.2 </w:t>
      </w:r>
      <w:r>
        <w:t>建筑拆除阶段</w:t>
      </w:r>
      <w:r>
        <w:tab/>
      </w:r>
      <w:r>
        <w:fldChar w:fldCharType="begin"/>
      </w:r>
      <w:r>
        <w:instrText xml:space="preserve"> PAGEREF _Toc31303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_Toc16852 </w:instrText>
      </w:r>
      <w:r>
        <w:fldChar w:fldCharType="separate"/>
      </w:r>
      <w:r>
        <w:rPr>
          <w:lang w:bidi="zh-CN"/>
        </w:rPr>
        <w:t xml:space="preserve">5.5 </w:t>
      </w:r>
      <w:r>
        <w:rPr>
          <w:rFonts w:hint="eastAsia"/>
        </w:rPr>
        <w:t>结果汇总</w:t>
      </w:r>
      <w:r>
        <w:t>Results summary</w:t>
      </w:r>
      <w:r>
        <w:tab/>
      </w:r>
      <w:r>
        <w:fldChar w:fldCharType="begin"/>
      </w:r>
      <w:r>
        <w:instrText xml:space="preserve"> PAGEREF _Toc16852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_Toc26460 </w:instrText>
      </w:r>
      <w:r>
        <w:fldChar w:fldCharType="separate"/>
      </w:r>
      <w:r>
        <w:rPr>
          <w:rFonts w:hint="eastAsia" w:eastAsia="宋体"/>
          <w:szCs w:val="24"/>
          <w:lang w:val="en-GB"/>
        </w:rPr>
        <w:t xml:space="preserve">5.5.1 </w:t>
      </w:r>
      <w:r>
        <w:t>单位面积指标</w:t>
      </w:r>
      <w:r>
        <w:tab/>
      </w:r>
      <w:r>
        <w:fldChar w:fldCharType="begin"/>
      </w:r>
      <w:r>
        <w:instrText xml:space="preserve"> PAGEREF _Toc26460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_Toc11563 </w:instrText>
      </w:r>
      <w:r>
        <w:fldChar w:fldCharType="separate"/>
      </w:r>
      <w:r>
        <w:rPr>
          <w:rFonts w:hint="eastAsia" w:eastAsia="宋体"/>
          <w:szCs w:val="24"/>
          <w:lang w:val="en-GB"/>
        </w:rPr>
        <w:t xml:space="preserve">5.5.2 </w:t>
      </w:r>
      <w:r>
        <w:t>总碳排放量</w:t>
      </w:r>
      <w:r>
        <w:tab/>
      </w:r>
      <w:r>
        <w:fldChar w:fldCharType="begin"/>
      </w:r>
      <w:r>
        <w:instrText xml:space="preserve"> PAGEREF _Toc11563 \h </w:instrText>
      </w:r>
      <w:r>
        <w:fldChar w:fldCharType="separate"/>
      </w:r>
      <w:r>
        <w:t>12</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_Toc30650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_Toc30650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_Toc18053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_Toc18053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_Toc1904 </w:instrText>
      </w:r>
      <w:r>
        <w:fldChar w:fldCharType="separate"/>
      </w:r>
      <w:r>
        <w:t xml:space="preserve">1) </w:t>
      </w:r>
      <w:r>
        <w:rPr>
          <w:rFonts w:hint="eastAsia"/>
        </w:rPr>
        <w:t>完整性说明</w:t>
      </w:r>
      <w:r>
        <w:tab/>
      </w:r>
      <w:r>
        <w:fldChar w:fldCharType="begin"/>
      </w:r>
      <w:r>
        <w:instrText xml:space="preserve"> PAGEREF _Toc1904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_Toc21176 </w:instrText>
      </w:r>
      <w:r>
        <w:fldChar w:fldCharType="separate"/>
      </w:r>
      <w:r>
        <w:t>2) 数据质量评估</w:t>
      </w:r>
      <w:r>
        <w:tab/>
      </w:r>
      <w:r>
        <w:fldChar w:fldCharType="begin"/>
      </w:r>
      <w:r>
        <w:instrText xml:space="preserve"> PAGEREF _Toc21176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_Toc17652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_Toc17652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_Toc14198 </w:instrText>
      </w:r>
      <w:r>
        <w:fldChar w:fldCharType="separate"/>
      </w:r>
      <w:r>
        <w:rPr>
          <w:lang w:bidi="zh-CN"/>
        </w:rPr>
        <w:t xml:space="preserve">6.3 </w:t>
      </w:r>
      <w:r>
        <w:rPr>
          <w:rFonts w:hint="eastAsia"/>
        </w:rPr>
        <w:t>改进建议</w:t>
      </w:r>
      <w:r>
        <w:tab/>
      </w:r>
      <w:r>
        <w:fldChar w:fldCharType="begin"/>
      </w:r>
      <w:r>
        <w:instrText xml:space="preserve"> PAGEREF _Toc14198 \h </w:instrText>
      </w:r>
      <w:r>
        <w:fldChar w:fldCharType="separate"/>
      </w:r>
      <w:r>
        <w:t>13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_Toc29688 </w:instrText>
      </w:r>
      <w:r>
        <w:fldChar w:fldCharType="separate"/>
      </w:r>
      <w:r>
        <w:rPr>
          <w:lang w:bidi="zh-CN"/>
        </w:rPr>
        <w:t xml:space="preserve">7 </w:t>
      </w:r>
      <w:r>
        <w:rPr>
          <w:rFonts w:hint="eastAsia"/>
        </w:rPr>
        <w:t>附录</w:t>
      </w:r>
      <w:r>
        <w:tab/>
      </w:r>
      <w:r>
        <w:fldChar w:fldCharType="begin"/>
      </w:r>
      <w:r>
        <w:instrText xml:space="preserve"> PAGEREF _Toc29688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_Toc29517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_Toc29517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_Toc17393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_Toc17393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_Toc24204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_Toc24204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_Toc16345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_Toc16345 \h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_Toc17542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_Toc17542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_Toc18673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_Toc18673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_Toc8143 </w:instrText>
      </w:r>
      <w:r>
        <w:fldChar w:fldCharType="separate"/>
      </w:r>
      <w:r>
        <w:rPr>
          <w:rFonts w:hint="eastAsia" w:eastAsia="宋体"/>
          <w:szCs w:val="24"/>
          <w:lang w:val="en-GB"/>
        </w:rPr>
        <w:t xml:space="preserve">7.3.2 </w:t>
      </w:r>
      <w:r>
        <w:rPr>
          <w:rFonts w:hint="eastAsia"/>
          <w:lang w:val="en-US"/>
        </w:rPr>
        <w:t>供暖系统</w:t>
      </w:r>
      <w:r>
        <w:tab/>
      </w:r>
      <w:r>
        <w:fldChar w:fldCharType="begin"/>
      </w:r>
      <w:r>
        <w:instrText xml:space="preserve"> PAGEREF _Toc8143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_Toc23686 </w:instrText>
      </w:r>
      <w:r>
        <w:fldChar w:fldCharType="separate"/>
      </w:r>
      <w:r>
        <w:rPr>
          <w:rFonts w:hint="eastAsia" w:eastAsia="宋体"/>
          <w:szCs w:val="24"/>
          <w:lang w:val="en-GB"/>
        </w:rPr>
        <w:t xml:space="preserve">7.3.3 </w:t>
      </w:r>
      <w:r>
        <w:rPr>
          <w:rFonts w:hint="eastAsia"/>
          <w:lang w:val="en-US"/>
        </w:rPr>
        <w:t>空调风机</w:t>
      </w:r>
      <w:r>
        <w:tab/>
      </w:r>
      <w:r>
        <w:fldChar w:fldCharType="begin"/>
      </w:r>
      <w:r>
        <w:instrText xml:space="preserve"> PAGEREF _Toc23686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_Toc22876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_Toc22876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_Toc9491 </w:instrText>
      </w:r>
      <w:r>
        <w:fldChar w:fldCharType="separate"/>
      </w:r>
      <w:r>
        <w:rPr>
          <w:rFonts w:hint="eastAsia"/>
          <w:lang w:val="en-US" w:bidi="zh-CN"/>
        </w:rPr>
        <w:t xml:space="preserve">7.5 </w:t>
      </w:r>
      <w:r>
        <w:rPr>
          <w:rFonts w:hint="eastAsia"/>
          <w:lang w:val="en-US"/>
        </w:rPr>
        <w:t>插座设备</w:t>
      </w:r>
      <w:r>
        <w:tab/>
      </w:r>
      <w:r>
        <w:fldChar w:fldCharType="begin"/>
      </w:r>
      <w:r>
        <w:instrText xml:space="preserve"> PAGEREF _Toc9491 \h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_Toc10677 </w:instrText>
      </w:r>
      <w:r>
        <w:fldChar w:fldCharType="separate"/>
      </w:r>
      <w:r>
        <w:rPr>
          <w:rFonts w:hint="eastAsia"/>
          <w:lang w:val="en-US" w:bidi="zh-CN"/>
        </w:rPr>
        <w:t xml:space="preserve">7.6 </w:t>
      </w:r>
      <w:r>
        <w:rPr>
          <w:rFonts w:hint="eastAsia"/>
          <w:lang w:val="en-US"/>
        </w:rPr>
        <w:t>炊事</w:t>
      </w:r>
      <w:r>
        <w:tab/>
      </w:r>
      <w:r>
        <w:fldChar w:fldCharType="begin"/>
      </w:r>
      <w:r>
        <w:instrText xml:space="preserve"> PAGEREF _Toc10677 \h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_Toc6447 </w:instrText>
      </w:r>
      <w:r>
        <w:fldChar w:fldCharType="separate"/>
      </w:r>
      <w:r>
        <w:rPr>
          <w:rFonts w:hint="eastAsia"/>
          <w:lang w:val="en-US" w:bidi="zh-CN"/>
        </w:rPr>
        <w:t xml:space="preserve">7.7 </w:t>
      </w:r>
      <w:r>
        <w:rPr>
          <w:rFonts w:hint="eastAsia"/>
          <w:lang w:val="en-US"/>
        </w:rPr>
        <w:t>时间表</w:t>
      </w:r>
      <w:r>
        <w:tab/>
      </w:r>
      <w:r>
        <w:fldChar w:fldCharType="begin"/>
      </w:r>
      <w:r>
        <w:instrText xml:space="preserve"> PAGEREF _Toc6447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_Toc29842 </w:instrText>
      </w:r>
      <w:r>
        <w:fldChar w:fldCharType="separate"/>
      </w:r>
      <w:r>
        <w:rPr>
          <w:rFonts w:hint="eastAsia" w:eastAsia="宋体"/>
          <w:szCs w:val="24"/>
          <w:lang w:val="en-GB"/>
        </w:rPr>
        <w:t xml:space="preserve">7.7.1 </w:t>
      </w:r>
      <w:r>
        <w:t>工作日/节假日人员逐时在室率(%)</w:t>
      </w:r>
      <w:r>
        <w:tab/>
      </w:r>
      <w:r>
        <w:fldChar w:fldCharType="begin"/>
      </w:r>
      <w:r>
        <w:instrText xml:space="preserve"> PAGEREF _Toc29842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_Toc16165 </w:instrText>
      </w:r>
      <w:r>
        <w:fldChar w:fldCharType="separate"/>
      </w:r>
      <w:r>
        <w:rPr>
          <w:rFonts w:hint="eastAsia" w:eastAsia="宋体"/>
          <w:szCs w:val="24"/>
          <w:lang w:val="en-GB"/>
        </w:rPr>
        <w:t xml:space="preserve">7.7.2 </w:t>
      </w:r>
      <w:r>
        <w:t>工作日/节假日照明开关时间表(%)</w:t>
      </w:r>
      <w:r>
        <w:tab/>
      </w:r>
      <w:r>
        <w:fldChar w:fldCharType="begin"/>
      </w:r>
      <w:r>
        <w:instrText xml:space="preserve"> PAGEREF _Toc16165 \h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_Toc31395 </w:instrText>
      </w:r>
      <w:r>
        <w:fldChar w:fldCharType="separate"/>
      </w:r>
      <w:r>
        <w:rPr>
          <w:rFonts w:hint="eastAsia" w:eastAsia="宋体"/>
          <w:szCs w:val="24"/>
          <w:lang w:val="en-GB"/>
        </w:rPr>
        <w:t xml:space="preserve">7.7.3 </w:t>
      </w:r>
      <w:r>
        <w:t>工作日/节假日设备逐时使用率(%)</w:t>
      </w:r>
      <w:r>
        <w:tab/>
      </w:r>
      <w:r>
        <w:fldChar w:fldCharType="begin"/>
      </w:r>
      <w:r>
        <w:instrText xml:space="preserve"> PAGEREF _Toc31395 \h </w:instrText>
      </w:r>
      <w:r>
        <w:fldChar w:fldCharType="separate"/>
      </w:r>
      <w:r>
        <w:t>19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_Toc8757 </w:instrText>
      </w:r>
      <w:r>
        <w:fldChar w:fldCharType="separate"/>
      </w:r>
      <w:r>
        <w:rPr>
          <w:rFonts w:hint="eastAsia" w:eastAsia="宋体"/>
          <w:szCs w:val="24"/>
          <w:lang w:val="en-GB"/>
        </w:rPr>
        <w:t xml:space="preserve">7.7.4 </w:t>
      </w:r>
      <w:r>
        <w:t>工作日/节假日空调系统运行时间表(1:开,0:关)</w:t>
      </w:r>
      <w:r>
        <w:tab/>
      </w:r>
      <w:r>
        <w:fldChar w:fldCharType="begin"/>
      </w:r>
      <w:r>
        <w:instrText xml:space="preserve"> PAGEREF _Toc8757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_Toc23121 </w:instrText>
      </w:r>
      <w:r>
        <w:fldChar w:fldCharType="separate"/>
      </w:r>
      <w:r>
        <w:rPr>
          <w:rFonts w:hint="eastAsia" w:eastAsia="宋体"/>
          <w:szCs w:val="24"/>
          <w:lang w:val="en-GB"/>
        </w:rPr>
        <w:t xml:space="preserve">7.7.5 </w:t>
      </w:r>
      <w:r>
        <w:t>工作日/节假日新风运行时间表(%)</w:t>
      </w:r>
      <w:r>
        <w:tab/>
      </w:r>
      <w:r>
        <w:fldChar w:fldCharType="begin"/>
      </w:r>
      <w:r>
        <w:instrText xml:space="preserve"> PAGEREF _Toc23121 \h </w:instrText>
      </w:r>
      <w:r>
        <w:fldChar w:fldCharType="separate"/>
      </w:r>
      <w:r>
        <w:t>20</w:t>
      </w:r>
      <w:r>
        <w:fldChar w:fldCharType="end"/>
      </w:r>
      <w:r>
        <w:fldChar w:fldCharType="end"/>
      </w:r>
    </w:p>
    <w:p>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pPr>
        <w:pStyle w:val="2"/>
      </w:pPr>
      <w:bookmarkStart w:id="4" w:name="_Toc17405"/>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9" w:type="dxa"/>
            <w:gridSpan w:val="2"/>
          </w:tcPr>
          <w:p>
            <w:pPr>
              <w:pStyle w:val="3"/>
              <w:ind w:firstLine="0" w:firstLineChars="0"/>
              <w:rPr>
                <w:rFonts w:ascii="宋体" w:hAnsi="宋体"/>
                <w:lang w:val="en-US"/>
              </w:rPr>
            </w:pPr>
            <w:bookmarkStart w:id="5" w:name="工程名称"/>
            <w:r>
              <w:t>二食堂</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9" w:type="dxa"/>
            <w:gridSpan w:val="2"/>
          </w:tcPr>
          <w:p>
            <w:pPr>
              <w:pStyle w:val="3"/>
              <w:ind w:firstLine="0" w:firstLineChars="0"/>
              <w:rPr>
                <w:rFonts w:ascii="宋体" w:hAnsi="宋体"/>
                <w:lang w:val="en-US"/>
              </w:rPr>
            </w:pPr>
            <w:bookmarkStart w:id="6" w:name="工程地点"/>
            <w:r>
              <w:t>辽宁-沈阳</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41.81</w:t>
            </w:r>
            <w:bookmarkEnd w:id="7"/>
            <w:r>
              <w:rPr>
                <w:rFonts w:hint="eastAsia" w:ascii="宋体" w:hAnsi="宋体"/>
                <w:lang w:val="en-US"/>
              </w:rPr>
              <w:t>°</w:t>
            </w:r>
          </w:p>
        </w:tc>
        <w:tc>
          <w:tcPr>
            <w:tcW w:w="3037" w:type="dxa"/>
          </w:tcPr>
          <w:p>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123.43</w:t>
            </w:r>
            <w:bookmarkEnd w:id="8"/>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ascii="宋体" w:hAnsi="宋体"/>
                <w:lang w:val="en-US"/>
              </w:rPr>
            </w:pPr>
            <w:bookmarkStart w:id="9" w:name="建筑寿命"/>
            <w:r>
              <w:t>70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7320.73</w:t>
            </w:r>
            <w:bookmarkEnd w:id="10"/>
            <w:r>
              <w:rPr>
                <w:rFonts w:hint="eastAsia" w:ascii="宋体" w:hAnsi="宋体"/>
                <w:lang w:val="en-US"/>
              </w:rPr>
              <w:t xml:space="preserve">    地下</w:t>
            </w:r>
            <w:bookmarkStart w:id="11" w:name="地下建筑面积"/>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3</w:t>
            </w:r>
            <w:bookmarkEnd w:id="12"/>
            <w:r>
              <w:rPr>
                <w:rFonts w:hint="eastAsia" w:ascii="宋体" w:hAnsi="宋体"/>
                <w:lang w:val="en-US"/>
              </w:rPr>
              <w:t xml:space="preserve">          地下</w:t>
            </w:r>
            <w:bookmarkStart w:id="13" w:name="地下建筑层数"/>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069" w:type="dxa"/>
            <w:gridSpan w:val="2"/>
          </w:tcPr>
          <w:p>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15.90</w:t>
            </w:r>
            <w:bookmarkEnd w:id="14"/>
            <w:r>
              <w:rPr>
                <w:rFonts w:hint="eastAsia" w:ascii="宋体" w:hAnsi="宋体"/>
                <w:lang w:val="en-US"/>
              </w:rPr>
              <w:t xml:space="preserve">     地下</w:t>
            </w:r>
            <w:bookmarkStart w:id="15" w:name="地下建筑高度"/>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ascii="宋体" w:hAnsi="宋体"/>
                <w:lang w:val="en-US"/>
              </w:rPr>
            </w:pPr>
            <w:bookmarkStart w:id="16" w:name="建筑体积"/>
            <w:r>
              <w:t>38799.88</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ascii="宋体" w:hAnsi="宋体"/>
                <w:lang w:val="en-US"/>
              </w:rPr>
            </w:pPr>
            <w:bookmarkStart w:id="17" w:name="外表面积"/>
            <w:r>
              <w:t>5344.76</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069" w:type="dxa"/>
            <w:gridSpan w:val="2"/>
          </w:tcPr>
          <w:p>
            <w:pPr>
              <w:pStyle w:val="3"/>
              <w:ind w:firstLine="0" w:firstLineChars="0"/>
              <w:rPr>
                <w:rFonts w:ascii="宋体" w:hAnsi="宋体"/>
                <w:lang w:val="en-US"/>
              </w:rPr>
            </w:pPr>
            <w:bookmarkStart w:id="18" w:name="北向角度"/>
            <w:r>
              <w:t>270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69" w:type="dxa"/>
            <w:gridSpan w:val="2"/>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外墙太阳辐射吸收系数</w:t>
            </w:r>
          </w:p>
        </w:tc>
        <w:tc>
          <w:tcPr>
            <w:tcW w:w="6069" w:type="dxa"/>
            <w:gridSpan w:val="2"/>
          </w:tcPr>
          <w:p>
            <w:pPr>
              <w:pStyle w:val="3"/>
              <w:ind w:firstLine="0" w:firstLineChars="0"/>
              <w:rPr>
                <w:rFonts w:ascii="宋体" w:hAnsi="宋体"/>
                <w:lang w:val="en-US"/>
              </w:rPr>
            </w:pPr>
            <w:bookmarkStart w:id="20" w:name="外墙ρ"/>
            <w:r>
              <w:rPr>
                <w:rFonts w:hint="eastAsia"/>
              </w:rPr>
              <w:t>0.75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ascii="宋体" w:hAnsi="宋体"/>
                <w:lang w:val="en-US"/>
              </w:rPr>
            </w:pPr>
            <w:r>
              <w:rPr>
                <w:rFonts w:hint="eastAsia"/>
              </w:rPr>
              <w:t>屋顶太阳辐射吸收系数</w:t>
            </w:r>
          </w:p>
        </w:tc>
        <w:tc>
          <w:tcPr>
            <w:tcW w:w="6069" w:type="dxa"/>
            <w:gridSpan w:val="2"/>
          </w:tcPr>
          <w:p>
            <w:pPr>
              <w:pStyle w:val="3"/>
              <w:ind w:firstLine="0" w:firstLineChars="0"/>
              <w:rPr>
                <w:rFonts w:ascii="宋体" w:hAnsi="宋体"/>
                <w:lang w:val="en-US"/>
              </w:rPr>
            </w:pPr>
            <w:bookmarkStart w:id="21" w:name="屋顶ρ"/>
            <w:r>
              <w:rPr>
                <w:rFonts w:hint="eastAsia"/>
              </w:rPr>
              <w:t>0.75</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2" w:name="控温期"/>
            <w:r>
              <w:t>供暖期:11.1-3.31</w:t>
            </w:r>
            <w:bookmarkEnd w:id="22"/>
          </w:p>
        </w:tc>
      </w:tr>
    </w:tbl>
    <w:p>
      <w:pPr>
        <w:pStyle w:val="4"/>
      </w:pPr>
      <w:bookmarkStart w:id="23" w:name="_Toc10520"/>
      <w:r>
        <w:rPr>
          <w:rFonts w:hint="eastAsia"/>
        </w:rPr>
        <w:t>建筑模型图</w:t>
      </w:r>
      <w:bookmarkEnd w:id="23"/>
    </w:p>
    <w:p>
      <w:pPr>
        <w:pStyle w:val="4"/>
      </w:pPr>
      <w:bookmarkStart w:id="24" w:name="_Toc5058"/>
      <w:r>
        <w:t>主要技术措施</w:t>
      </w:r>
      <w:bookmarkEnd w:id="24"/>
    </w:p>
    <w:p>
      <w:pPr>
        <w:pStyle w:val="3"/>
        <w:ind w:firstLine="0" w:firstLineChars="0"/>
        <w:rPr>
          <w:lang w:val="en-US"/>
        </w:rPr>
      </w:pPr>
      <w:r>
        <w:rPr>
          <w:rFonts w:hint="eastAsia"/>
          <w:lang w:val="en-US"/>
        </w:rPr>
        <w:t>本工程采用的碳减排措施:</w:t>
      </w:r>
    </w:p>
    <w:p>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pPr>
        <w:pStyle w:val="3"/>
        <w:numPr>
          <w:ilvl w:val="0"/>
          <w:numId w:val="2"/>
        </w:numPr>
        <w:ind w:firstLineChars="0"/>
        <w:rPr>
          <w:color w:val="A6A6A6" w:themeColor="background1" w:themeShade="A6"/>
          <w:lang w:val="en-US"/>
        </w:rPr>
      </w:pPr>
      <w:r>
        <w:rPr>
          <w:color w:val="A6A6A6" w:themeColor="background1" w:themeShade="A6"/>
          <w:lang w:val="en-US"/>
        </w:rPr>
        <w:t>地源热泵</w:t>
      </w:r>
    </w:p>
    <w:p>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pPr>
        <w:pStyle w:val="2"/>
      </w:pPr>
      <w:bookmarkStart w:id="25" w:name="_Toc29504"/>
      <w:r>
        <w:rPr>
          <w:rFonts w:hint="eastAsia"/>
        </w:rPr>
        <w:t>分析目的和工具 Pur</w:t>
      </w:r>
      <w:r>
        <w:t>pose of the assessment and tools</w:t>
      </w:r>
      <w:bookmarkEnd w:id="25"/>
    </w:p>
    <w:p>
      <w:pPr>
        <w:pStyle w:val="4"/>
      </w:pPr>
      <w:bookmarkStart w:id="26" w:name="_Toc28167"/>
      <w:r>
        <w:rPr>
          <w:rFonts w:hint="eastAsia"/>
        </w:rPr>
        <w:t>分析目的 P</w:t>
      </w:r>
      <w:r>
        <w:t>urpose of the analysis</w:t>
      </w:r>
      <w:bookmarkEnd w:id="26"/>
    </w:p>
    <w:p>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pPr>
        <w:ind w:firstLine="420"/>
        <w:rPr>
          <w:lang w:val="en-US"/>
        </w:rPr>
      </w:pPr>
    </w:p>
    <w:p>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pPr>
        <w:pStyle w:val="3"/>
        <w:spacing w:line="240" w:lineRule="auto"/>
        <w:ind w:firstLine="420"/>
      </w:pPr>
    </w:p>
    <w:p>
      <w:pPr>
        <w:pStyle w:val="3"/>
        <w:numPr>
          <w:ilvl w:val="0"/>
          <w:numId w:val="3"/>
        </w:numPr>
        <w:snapToGrid w:val="0"/>
        <w:spacing w:line="240" w:lineRule="auto"/>
        <w:ind w:firstLineChars="0"/>
        <w:jc w:val="left"/>
        <w:rPr>
          <w:b/>
        </w:rPr>
      </w:pPr>
      <w:r>
        <w:rPr>
          <w:rFonts w:hint="eastAsia"/>
          <w:b/>
        </w:rPr>
        <w:t>《绿色建筑评价标准》 GB/T50378-2019</w:t>
      </w:r>
    </w:p>
    <w:p>
      <w:pPr>
        <w:ind w:firstLine="420"/>
        <w:rPr>
          <w:b/>
        </w:rPr>
      </w:pPr>
      <w:r>
        <w:rPr>
          <w:rFonts w:hint="eastAsia"/>
        </w:rPr>
        <w:t>9.2.7  进行建筑碳排放计算分析，采取措施降低单位建筑面积碳排放强度，评价分值为12分。</w:t>
      </w:r>
    </w:p>
    <w:p>
      <w:pPr>
        <w:pStyle w:val="4"/>
      </w:pPr>
      <w:bookmarkStart w:id="27" w:name="_Toc2781"/>
      <w:r>
        <w:rPr>
          <w:rFonts w:hint="eastAsia"/>
        </w:rPr>
        <w:t>分析工具 A</w:t>
      </w:r>
      <w:r>
        <w:t>ssessment software</w:t>
      </w:r>
      <w:bookmarkEnd w:id="27"/>
    </w:p>
    <w:p>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pPr>
        <w:pStyle w:val="2"/>
      </w:pPr>
      <w:bookmarkStart w:id="28" w:name="_Toc16906"/>
      <w:bookmarkStart w:id="29" w:name="_Toc59802421"/>
      <w:bookmarkStart w:id="30" w:name="_Toc58336110"/>
      <w:bookmarkStart w:id="31" w:name="_Toc59787735"/>
      <w:bookmarkStart w:id="32" w:name="_Toc59800596"/>
      <w:r>
        <w:rPr>
          <w:rFonts w:hint="eastAsia"/>
        </w:rPr>
        <w:t>建筑的全生命周期分析 Life</w:t>
      </w:r>
      <w:r>
        <w:t xml:space="preserve"> Cycle Assessment methodology</w:t>
      </w:r>
      <w:bookmarkEnd w:id="28"/>
    </w:p>
    <w:p>
      <w:pPr>
        <w:pStyle w:val="4"/>
      </w:pPr>
      <w:bookmarkStart w:id="33" w:name="_Toc5099"/>
      <w:r>
        <w:rPr>
          <w:rFonts w:hint="eastAsia"/>
        </w:rPr>
        <w:t xml:space="preserve">建筑的全生命周期分析 </w:t>
      </w:r>
      <w:r>
        <w:t>About Life Cycle Assessment for Building</w:t>
      </w:r>
      <w:bookmarkEnd w:id="33"/>
    </w:p>
    <w:p>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pPr>
        <w:pStyle w:val="3"/>
        <w:ind w:firstLine="0" w:firstLineChars="0"/>
        <w:rPr>
          <w:lang w:val="en-US"/>
        </w:rPr>
      </w:pPr>
    </w:p>
    <w:p>
      <w:pPr>
        <w:pStyle w:val="4"/>
        <w:tabs>
          <w:tab w:val="clear" w:pos="432"/>
        </w:tabs>
      </w:pPr>
      <w:bookmarkStart w:id="34" w:name="_Toc5824"/>
      <w:r>
        <w:t>执行标准</w:t>
      </w:r>
      <w:r>
        <w:rPr>
          <w:rFonts w:hint="eastAsia"/>
        </w:rPr>
        <w:t xml:space="preserve"> App</w:t>
      </w:r>
      <w:r>
        <w:t>licable Standards</w:t>
      </w:r>
      <w:bookmarkEnd w:id="34"/>
    </w:p>
    <w:p>
      <w:pPr>
        <w:pStyle w:val="3"/>
        <w:ind w:firstLine="420"/>
        <w:rPr>
          <w:lang w:val="en-US"/>
        </w:rPr>
      </w:pPr>
      <w:bookmarkStart w:id="35" w:name="计算依据"/>
      <w:bookmarkEnd w:id="35"/>
      <w:r>
        <w:rPr>
          <w:lang w:val="en-US"/>
        </w:rPr>
        <w:t>1. 《建筑节能与可再生能源利用通用规范》GB 55015-2021</w:t>
      </w:r>
    </w:p>
    <w:p>
      <w:pPr>
        <w:pStyle w:val="3"/>
        <w:ind w:firstLine="420"/>
        <w:rPr>
          <w:lang w:val="en-US"/>
        </w:rPr>
      </w:pPr>
      <w:r>
        <w:rPr>
          <w:lang w:val="en-US"/>
        </w:rPr>
        <w:t>2. 《建筑碳排放计算标准》GB/T 51366-2019</w:t>
      </w:r>
    </w:p>
    <w:p>
      <w:pPr>
        <w:pStyle w:val="3"/>
        <w:ind w:firstLine="420"/>
        <w:rPr>
          <w:lang w:val="en-US"/>
        </w:rPr>
      </w:pPr>
      <w:r>
        <w:rPr>
          <w:lang w:val="en-US"/>
        </w:rPr>
        <w:t>3. 《绿色建筑评价标准》GB/T50378-2019</w:t>
      </w:r>
    </w:p>
    <w:p>
      <w:pPr>
        <w:pStyle w:val="3"/>
        <w:ind w:firstLine="420"/>
        <w:rPr>
          <w:lang w:val="en-US"/>
        </w:rPr>
      </w:pPr>
      <w:r>
        <w:rPr>
          <w:lang w:val="en-US"/>
        </w:rPr>
        <w:t>4. 《民用建筑绿色性能计算标准》JGJ/T 449-2018</w:t>
      </w:r>
    </w:p>
    <w:p>
      <w:pPr>
        <w:pStyle w:val="3"/>
        <w:ind w:firstLine="420"/>
        <w:rPr>
          <w:lang w:val="en-US"/>
        </w:rPr>
      </w:pPr>
    </w:p>
    <w:p>
      <w:pPr>
        <w:pStyle w:val="4"/>
      </w:pPr>
      <w:bookmarkStart w:id="36" w:name="_Toc18631"/>
      <w:r>
        <w:rPr>
          <w:rFonts w:hint="eastAsia"/>
        </w:rPr>
        <w:t xml:space="preserve">碳排放计算边界 </w:t>
      </w:r>
      <w:r>
        <w:t>System boundary</w:t>
      </w:r>
      <w:bookmarkEnd w:id="36"/>
    </w:p>
    <w:p>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bookmarkStart w:id="158" w:name="_GoBack"/>
      <w:bookmarkEnd w:id="158"/>
    </w:p>
    <w:p>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pPr>
              <w:pStyle w:val="3"/>
              <w:ind w:firstLine="0" w:firstLineChars="0"/>
              <w:jc w:val="center"/>
              <w:rPr>
                <w:lang w:val="en-US"/>
              </w:rPr>
            </w:pPr>
            <w:r>
              <w:rPr>
                <w:rFonts w:hint="eastAsia"/>
                <w:lang w:val="en-US"/>
              </w:rPr>
              <w:t>产生环境影响原因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pPr>
              <w:pStyle w:val="3"/>
              <w:ind w:firstLine="0" w:firstLineChars="0"/>
              <w:rPr>
                <w:lang w:val="en-US"/>
              </w:rPr>
            </w:pPr>
            <w:r>
              <w:rPr>
                <w:rFonts w:hint="eastAsia"/>
                <w:lang w:val="en-US"/>
              </w:rPr>
              <w:t>建材准备阶段 P</w:t>
            </w:r>
          </w:p>
        </w:tc>
        <w:tc>
          <w:tcPr>
            <w:tcW w:w="6626" w:type="dxa"/>
            <w:tcBorders>
              <w:left w:val="nil"/>
              <w:bottom w:val="nil"/>
              <w:right w:val="nil"/>
            </w:tcBorders>
          </w:tcPr>
          <w:p>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pPr>
              <w:pStyle w:val="3"/>
              <w:ind w:firstLine="0" w:firstLineChars="0"/>
              <w:rPr>
                <w:lang w:val="en-US"/>
              </w:rPr>
            </w:pPr>
            <w:r>
              <w:rPr>
                <w:rFonts w:hint="eastAsia"/>
                <w:lang w:val="en-US"/>
              </w:rPr>
              <w:t>建材出厂运输到建造现场，现场的材料加工、机械设备使用、场</w:t>
            </w:r>
          </w:p>
          <w:p>
            <w:pPr>
              <w:pStyle w:val="3"/>
              <w:ind w:firstLine="0" w:firstLineChars="0"/>
              <w:rPr>
                <w:lang w:val="en-US"/>
              </w:rPr>
            </w:pPr>
            <w:r>
              <w:rPr>
                <w:rFonts w:hint="eastAsia"/>
                <w:lang w:val="en-US"/>
              </w:rPr>
              <w:t>内运输等消耗，主要包括柴油、汽油、电力和水，以及环境排放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pPr>
              <w:pStyle w:val="3"/>
              <w:ind w:firstLine="0" w:firstLineChars="0"/>
              <w:rPr>
                <w:lang w:val="en-US"/>
              </w:rPr>
            </w:pPr>
            <w:r>
              <w:rPr>
                <w:rFonts w:hint="eastAsia"/>
                <w:lang w:val="en-US"/>
              </w:rPr>
              <w:t>建筑日常运营时的用能，主要包括供暖、通风、空调、照明等消</w:t>
            </w:r>
          </w:p>
          <w:p>
            <w:pPr>
              <w:pStyle w:val="3"/>
              <w:ind w:firstLine="0" w:firstLineChars="0"/>
              <w:rPr>
                <w:lang w:val="en-US"/>
              </w:rPr>
            </w:pPr>
            <w:r>
              <w:rPr>
                <w:rFonts w:hint="eastAsia"/>
                <w:lang w:val="en-US"/>
              </w:rPr>
              <w:t>耗的能源，如电力、天然气、外购热等，以及由此引起的环境排</w:t>
            </w:r>
          </w:p>
          <w:p>
            <w:pPr>
              <w:pStyle w:val="3"/>
              <w:ind w:firstLine="0" w:firstLineChars="0"/>
              <w:rPr>
                <w:lang w:val="en-US"/>
              </w:rPr>
            </w:pPr>
            <w:r>
              <w:rPr>
                <w:rFonts w:hint="eastAsia"/>
                <w:lang w:val="en-US"/>
              </w:rPr>
              <w:t>放；也包括建筑使用期间替换建材的生产带来的环境影响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pPr>
              <w:pStyle w:val="3"/>
              <w:ind w:firstLine="0" w:firstLineChars="0"/>
              <w:rPr>
                <w:lang w:val="en-US"/>
              </w:rPr>
            </w:pPr>
            <w:r>
              <w:rPr>
                <w:rFonts w:hint="eastAsia"/>
                <w:lang w:val="en-US"/>
              </w:rPr>
              <w:t>建筑拆除过程中的消耗，如电力、柴油等，以及拆除后废弃物的</w:t>
            </w:r>
          </w:p>
          <w:p>
            <w:pPr>
              <w:pStyle w:val="3"/>
              <w:ind w:firstLine="0" w:firstLineChars="0"/>
              <w:rPr>
                <w:lang w:val="en-US"/>
              </w:rPr>
            </w:pPr>
            <w:r>
              <w:rPr>
                <w:rFonts w:hint="eastAsia"/>
                <w:lang w:val="en-US"/>
              </w:rPr>
              <w:t>回收再利用和运输填埋造成的环境影响及效益</w:t>
            </w:r>
          </w:p>
        </w:tc>
      </w:tr>
    </w:tbl>
    <w:p>
      <w:pPr>
        <w:ind w:firstLine="420"/>
        <w:rPr>
          <w:lang w:val="en-US"/>
        </w:rPr>
      </w:pPr>
      <w:r>
        <w:rPr>
          <w:rFonts w:hint="eastAsia"/>
          <w:lang w:val="en-US"/>
        </w:rPr>
        <w:t>建筑全生命周期的环境影响指标结果 LCAW 等于各阶段指标结果汇总，</w:t>
      </w:r>
    </w:p>
    <w:p>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pPr>
        <w:ind w:firstLine="420"/>
        <w:rPr>
          <w:vertAlign w:val="subscript"/>
          <w:lang w:val="en-US"/>
        </w:rPr>
      </w:pPr>
    </w:p>
    <w:p>
      <w:pPr>
        <w:pStyle w:val="4"/>
      </w:pPr>
      <w:bookmarkStart w:id="37" w:name="_Toc22349"/>
      <w:r>
        <w:rPr>
          <w:rFonts w:hint="eastAsia"/>
        </w:rPr>
        <w:t>影响因素 Impact categories</w:t>
      </w:r>
      <w:bookmarkEnd w:id="37"/>
    </w:p>
    <w:p>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pPr>
        <w:pStyle w:val="2"/>
      </w:pPr>
      <w:bookmarkStart w:id="38" w:name="_Toc349"/>
      <w:r>
        <w:rPr>
          <w:rFonts w:hint="eastAsia"/>
        </w:rPr>
        <w:t>数据来源与取舍原则 Analysis data sources and cut-off principle</w:t>
      </w:r>
      <w:bookmarkEnd w:id="38"/>
    </w:p>
    <w:p>
      <w:pPr>
        <w:pStyle w:val="4"/>
      </w:pPr>
      <w:bookmarkStart w:id="39" w:name="_Toc30711"/>
      <w:r>
        <w:rPr>
          <w:rFonts w:hint="eastAsia"/>
        </w:rPr>
        <w:t>用量（活动）数据来源 Activity data sources</w:t>
      </w:r>
      <w:bookmarkEnd w:id="39"/>
    </w:p>
    <w:p>
      <w:pPr>
        <w:pStyle w:val="3"/>
        <w:numPr>
          <w:ilvl w:val="0"/>
          <w:numId w:val="4"/>
        </w:numPr>
        <w:ind w:firstLineChars="0"/>
        <w:rPr>
          <w:b/>
          <w:lang w:val="en-US"/>
        </w:rPr>
      </w:pPr>
      <w:r>
        <w:rPr>
          <w:rFonts w:hint="eastAsia"/>
          <w:b/>
          <w:lang w:val="en-US"/>
        </w:rPr>
        <w:t>建筑材料用量</w:t>
      </w:r>
    </w:p>
    <w:p>
      <w:pPr>
        <w:pStyle w:val="3"/>
        <w:ind w:firstLine="420"/>
        <w:rPr>
          <w:lang w:val="en-US"/>
        </w:rPr>
      </w:pPr>
      <w:r>
        <w:rPr>
          <w:rFonts w:hint="eastAsia"/>
          <w:lang w:val="en-US"/>
        </w:rPr>
        <w:t>本报告中的建材用量来源：</w:t>
      </w:r>
    </w:p>
    <w:p>
      <w:pPr>
        <w:pStyle w:val="3"/>
        <w:ind w:firstLine="420"/>
        <w:rPr>
          <w:color w:val="A6A6A6" w:themeColor="background1" w:themeShade="A6"/>
          <w:lang w:val="en-US"/>
        </w:rPr>
      </w:pPr>
      <w:r>
        <w:rPr>
          <w:rFonts w:hint="eastAsia"/>
          <w:color w:val="A6A6A6" w:themeColor="background1" w:themeShade="A6"/>
          <w:lang w:val="en-US"/>
        </w:rPr>
        <w:t>工程预算清单、决算清单；</w:t>
      </w:r>
    </w:p>
    <w:p>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pPr>
        <w:pStyle w:val="3"/>
        <w:numPr>
          <w:ilvl w:val="0"/>
          <w:numId w:val="4"/>
        </w:numPr>
        <w:ind w:firstLineChars="0"/>
        <w:rPr>
          <w:color w:val="A6A6A6" w:themeColor="background1" w:themeShade="A6"/>
          <w:lang w:val="en-US"/>
        </w:rPr>
      </w:pPr>
      <w:r>
        <w:rPr>
          <w:rFonts w:hint="eastAsia"/>
          <w:b/>
          <w:lang w:val="en-US"/>
        </w:rPr>
        <w:t>建筑材料运输</w:t>
      </w:r>
    </w:p>
    <w:p>
      <w:pPr>
        <w:pStyle w:val="3"/>
        <w:ind w:left="420" w:firstLine="0" w:firstLineChars="0"/>
        <w:rPr>
          <w:lang w:val="en-US"/>
        </w:rPr>
      </w:pPr>
      <w:r>
        <w:rPr>
          <w:rFonts w:hint="eastAsia"/>
          <w:lang w:val="en-US"/>
        </w:rPr>
        <w:t>优先项目建材供货地点的交通测算；</w:t>
      </w:r>
    </w:p>
    <w:p>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pPr>
        <w:pStyle w:val="3"/>
        <w:numPr>
          <w:ilvl w:val="0"/>
          <w:numId w:val="4"/>
        </w:numPr>
        <w:ind w:firstLineChars="0"/>
        <w:rPr>
          <w:b/>
          <w:lang w:val="en-US"/>
        </w:rPr>
      </w:pPr>
      <w:r>
        <w:rPr>
          <w:rFonts w:hint="eastAsia"/>
          <w:b/>
          <w:lang w:val="en-US"/>
        </w:rPr>
        <w:t>建材碳排放数据</w:t>
      </w:r>
    </w:p>
    <w:p>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pPr>
        <w:pStyle w:val="3"/>
        <w:numPr>
          <w:ilvl w:val="0"/>
          <w:numId w:val="4"/>
        </w:numPr>
        <w:ind w:firstLineChars="0"/>
        <w:rPr>
          <w:b/>
          <w:lang w:val="en-US"/>
        </w:rPr>
      </w:pPr>
      <w:r>
        <w:rPr>
          <w:b/>
          <w:lang w:val="en-US"/>
        </w:rPr>
        <w:t>施工碳排放数据</w:t>
      </w:r>
    </w:p>
    <w:p>
      <w:pPr>
        <w:pStyle w:val="3"/>
        <w:ind w:firstLine="420"/>
        <w:rPr>
          <w:color w:val="A6A6A6" w:themeColor="background1" w:themeShade="A6"/>
          <w:lang w:val="en-US"/>
        </w:rPr>
      </w:pPr>
      <w:r>
        <w:rPr>
          <w:rFonts w:hint="eastAsia"/>
          <w:color w:val="A6A6A6" w:themeColor="background1" w:themeShade="A6"/>
          <w:lang w:val="en-US"/>
        </w:rPr>
        <w:t>施工台账、预（决）算清单；</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建筑运行数据</w:t>
      </w:r>
    </w:p>
    <w:p>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pPr>
        <w:pStyle w:val="3"/>
        <w:numPr>
          <w:ilvl w:val="0"/>
          <w:numId w:val="4"/>
        </w:numPr>
        <w:ind w:firstLineChars="0"/>
        <w:rPr>
          <w:b/>
          <w:lang w:val="en-US"/>
        </w:rPr>
      </w:pPr>
      <w:r>
        <w:rPr>
          <w:b/>
          <w:lang w:val="en-US"/>
        </w:rPr>
        <w:t>建筑拆除数据</w:t>
      </w:r>
    </w:p>
    <w:p>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建筑维护数据</w:t>
      </w:r>
    </w:p>
    <w:p>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pPr>
        <w:pStyle w:val="3"/>
        <w:numPr>
          <w:ilvl w:val="0"/>
          <w:numId w:val="4"/>
        </w:numPr>
        <w:ind w:firstLineChars="0"/>
        <w:rPr>
          <w:b/>
          <w:lang w:val="en-US"/>
        </w:rPr>
      </w:pPr>
      <w:r>
        <w:rPr>
          <w:rFonts w:hint="eastAsia"/>
          <w:b/>
          <w:lang w:val="en-US"/>
        </w:rPr>
        <w:t>建筑景观数据</w:t>
      </w:r>
    </w:p>
    <w:p>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pPr>
        <w:pStyle w:val="3"/>
        <w:ind w:left="840" w:firstLine="0" w:firstLineChars="0"/>
        <w:rPr>
          <w:b/>
          <w:lang w:val="en-US"/>
        </w:rPr>
      </w:pPr>
    </w:p>
    <w:p>
      <w:pPr>
        <w:pStyle w:val="4"/>
      </w:pPr>
      <w:bookmarkStart w:id="40" w:name="_Toc5304"/>
      <w:r>
        <w:rPr>
          <w:rFonts w:hint="eastAsia"/>
        </w:rPr>
        <w:t>排放数据来源 Emission factor data sources</w:t>
      </w:r>
      <w:bookmarkEnd w:id="40"/>
    </w:p>
    <w:p>
      <w:pPr>
        <w:pStyle w:val="3"/>
        <w:numPr>
          <w:ilvl w:val="0"/>
          <w:numId w:val="5"/>
        </w:numPr>
        <w:ind w:firstLineChars="0"/>
        <w:rPr>
          <w:b/>
          <w:lang w:val="en-US"/>
        </w:rPr>
      </w:pPr>
      <w:r>
        <w:rPr>
          <w:rFonts w:hint="eastAsia"/>
          <w:b/>
          <w:lang w:val="en-US"/>
        </w:rPr>
        <w:t>建材碳排放因子</w:t>
      </w:r>
    </w:p>
    <w:p>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pPr>
        <w:pStyle w:val="3"/>
        <w:numPr>
          <w:ilvl w:val="0"/>
          <w:numId w:val="5"/>
        </w:numPr>
        <w:ind w:firstLineChars="0"/>
        <w:rPr>
          <w:b/>
          <w:lang w:val="en-US"/>
        </w:rPr>
      </w:pPr>
      <w:r>
        <w:rPr>
          <w:rFonts w:hint="eastAsia"/>
          <w:b/>
          <w:lang w:val="en-US"/>
        </w:rPr>
        <w:t>电网平均碳排放因子</w:t>
      </w:r>
    </w:p>
    <w:p>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pPr>
        <w:pStyle w:val="3"/>
        <w:numPr>
          <w:ilvl w:val="0"/>
          <w:numId w:val="5"/>
        </w:numPr>
        <w:ind w:firstLineChars="0"/>
        <w:rPr>
          <w:b/>
          <w:lang w:val="en-US"/>
        </w:rPr>
      </w:pPr>
      <w:r>
        <w:rPr>
          <w:b/>
          <w:lang w:val="en-US"/>
        </w:rPr>
        <w:t>能源碳排放因子</w:t>
      </w:r>
    </w:p>
    <w:p>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pPr>
        <w:pStyle w:val="3"/>
        <w:numPr>
          <w:ilvl w:val="0"/>
          <w:numId w:val="5"/>
        </w:numPr>
        <w:ind w:firstLineChars="0"/>
        <w:rPr>
          <w:b/>
          <w:lang w:val="en-US"/>
        </w:rPr>
      </w:pPr>
      <w:r>
        <w:rPr>
          <w:b/>
          <w:lang w:val="en-US"/>
        </w:rPr>
        <w:t>绿化固碳量</w:t>
      </w:r>
    </w:p>
    <w:p>
      <w:pPr>
        <w:pStyle w:val="3"/>
        <w:ind w:firstLine="420"/>
        <w:rPr>
          <w:lang w:val="en-US"/>
        </w:rPr>
      </w:pPr>
      <w:r>
        <w:rPr>
          <w:rFonts w:hint="eastAsia"/>
          <w:lang w:val="en-US"/>
        </w:rPr>
        <w:t>绿化固碳量参考广东省住房和城乡建设厅《建筑碳排放计算导则（试行）》附录3。</w:t>
      </w:r>
    </w:p>
    <w:p>
      <w:pPr>
        <w:pStyle w:val="4"/>
      </w:pPr>
      <w:bookmarkStart w:id="41" w:name="_Toc24567"/>
      <w:r>
        <w:rPr>
          <w:rFonts w:hint="eastAsia"/>
        </w:rPr>
        <w:t>取舍原则 Cut-off</w:t>
      </w:r>
      <w:bookmarkEnd w:id="41"/>
    </w:p>
    <w:p>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pPr>
        <w:pStyle w:val="3"/>
        <w:ind w:firstLine="420"/>
        <w:rPr>
          <w:lang w:val="en-US"/>
        </w:rPr>
      </w:pPr>
      <w:r>
        <w:rPr>
          <w:rFonts w:hint="eastAsia"/>
          <w:lang w:val="en-US"/>
        </w:rPr>
        <w:t>（2）低价值废物作为原料，如粉煤灰、矿渣、秸秆、生活垃圾等，可忽略其上游生产数据；</w:t>
      </w:r>
    </w:p>
    <w:p>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pPr>
        <w:pStyle w:val="2"/>
      </w:pPr>
      <w:bookmarkStart w:id="42" w:name="_Toc28707"/>
      <w:r>
        <w:rPr>
          <w:rFonts w:hint="eastAsia"/>
        </w:rPr>
        <w:t>全生命周期分析结果</w:t>
      </w:r>
      <w:r>
        <w:t>Life Cycle Assessment Results</w:t>
      </w:r>
      <w:bookmarkEnd w:id="42"/>
    </w:p>
    <w:p>
      <w:pPr>
        <w:pStyle w:val="4"/>
      </w:pPr>
      <w:bookmarkStart w:id="43" w:name="_Toc103699712"/>
      <w:bookmarkStart w:id="44" w:name="_Toc9881"/>
      <w:r>
        <w:t>建材生产运输碳排放</w:t>
      </w:r>
      <w:bookmarkEnd w:id="43"/>
      <w:r>
        <w:rPr>
          <w:rFonts w:hint="eastAsia"/>
        </w:rPr>
        <w:t xml:space="preserve"> </w:t>
      </w:r>
      <w:r>
        <w:t>Product and transport stage</w:t>
      </w:r>
      <w:bookmarkEnd w:id="44"/>
    </w:p>
    <w:p>
      <w:pPr>
        <w:pStyle w:val="5"/>
      </w:pPr>
      <w:bookmarkStart w:id="45" w:name="_Toc103699713"/>
      <w:bookmarkStart w:id="46" w:name="_Toc22584"/>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r>
              <w:t>合计</w:t>
            </w:r>
          </w:p>
        </w:tc>
        <w:tc>
          <w:tcPr>
            <w:vAlign w:val="center"/>
          </w:tcPr>
          <w:p>
            <w:pPr>
              <w:jc w:val="right"/>
            </w:pPr>
            <w:r>
              <w:t>0.000</w:t>
            </w:r>
          </w:p>
        </w:tc>
      </w:tr>
    </w:tbl>
    <w:p>
      <w:pPr>
        <w:ind w:firstLine="420"/>
        <w:rPr>
          <w:lang w:val="en-US"/>
        </w:rPr>
      </w:pPr>
      <w:bookmarkStart w:id="47" w:name="建材生产阶段碳排放"/>
      <w:bookmarkEnd w:id="47"/>
    </w:p>
    <w:p>
      <w:pPr>
        <w:pStyle w:val="5"/>
        <w:widowControl w:val="0"/>
        <w:jc w:val="both"/>
        <w:rPr>
          <w:color w:val="000000"/>
        </w:rPr>
      </w:pPr>
      <w:bookmarkStart w:id="48" w:name="_Toc103699714"/>
      <w:bookmarkStart w:id="49" w:name="_Toc26245"/>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总计</w:t>
            </w:r>
          </w:p>
        </w:tc>
        <w:tc>
          <w:tcPr>
            <w:vAlign w:val="center"/>
          </w:tcPr>
          <w:p>
            <w:pPr>
              <w:jc w:val="right"/>
            </w:pPr>
            <w:r>
              <w:t>0.000</w:t>
            </w:r>
          </w:p>
        </w:tc>
      </w:tr>
    </w:tbl>
    <w:p>
      <w:pPr>
        <w:ind w:firstLine="420"/>
        <w:rPr>
          <w:lang w:val="en-US"/>
        </w:rPr>
      </w:pPr>
      <w:bookmarkStart w:id="50" w:name="建材运输阶段碳排放"/>
      <w:bookmarkEnd w:id="50"/>
    </w:p>
    <w:p>
      <w:pPr>
        <w:pStyle w:val="4"/>
      </w:pPr>
      <w:bookmarkStart w:id="51" w:name="_Toc103699715"/>
      <w:bookmarkStart w:id="52" w:name="_Toc11158"/>
      <w:r>
        <w:t>建造</w:t>
      </w:r>
      <w:bookmarkEnd w:id="51"/>
      <w:r>
        <w:rPr>
          <w:rFonts w:hint="eastAsia"/>
        </w:rPr>
        <w:t>阶段</w:t>
      </w:r>
      <w:r>
        <w:t>Construction process stage</w:t>
      </w:r>
      <w:bookmarkEnd w:id="52"/>
    </w:p>
    <w:p>
      <w:pPr>
        <w:ind w:firstLine="420"/>
        <w:rPr>
          <w:lang w:val="en-US"/>
        </w:rPr>
      </w:pPr>
      <w:bookmarkStart w:id="53" w:name="建筑建造碳排放"/>
      <w:bookmarkEnd w:id="53"/>
      <w:r>
        <w:rPr>
          <w:lang w:val="en-US"/>
        </w:rPr>
        <w:t>根据广东省《建筑碳排放计算导则（试行）》，采用经验公式法进行估算，公式如下：</w:t>
      </w:r>
    </w:p>
    <w:p>
      <w:pPr>
        <w:ind w:firstLine="420"/>
        <w:rPr>
          <w:lang w:val="en-US"/>
        </w:rPr>
      </w:pPr>
      <w:r>
        <w:rPr>
          <w:lang w:val="en-US"/>
        </w:rPr>
        <w:t xml:space="preserve">Y = X + 1.99 </w:t>
      </w:r>
    </w:p>
    <w:p>
      <w:pPr>
        <w:ind w:firstLine="420"/>
        <w:rPr>
          <w:lang w:val="en-US"/>
        </w:rPr>
      </w:pPr>
      <w:r>
        <w:rPr>
          <w:lang w:val="en-US"/>
        </w:rPr>
        <w:t>其中X 为地上层数，Y 为单位面积的碳排放量，单位为：kgCO2/㎡,</w:t>
      </w:r>
    </w:p>
    <w:p>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7320.73</w:t>
            </w:r>
          </w:p>
        </w:tc>
        <w:tc>
          <w:tcPr>
            <w:vAlign w:val="center"/>
          </w:tcPr>
          <w:p>
            <w:r>
              <w:t>3</w:t>
            </w:r>
          </w:p>
        </w:tc>
        <w:tc>
          <w:tcPr>
            <w:vAlign w:val="center"/>
          </w:tcPr>
          <w:p>
            <w:r>
              <w:t>4.99</w:t>
            </w:r>
          </w:p>
        </w:tc>
        <w:tc>
          <w:tcPr>
            <w:vAlign w:val="center"/>
          </w:tcPr>
          <w:p>
            <w:r>
              <w:t>36.530</w:t>
            </w:r>
          </w:p>
        </w:tc>
      </w:tr>
    </w:tbl>
    <w:p>
      <w:pPr>
        <w:ind w:firstLine="420"/>
        <w:rPr>
          <w:lang w:val="en-US"/>
        </w:rPr>
      </w:pPr>
    </w:p>
    <w:p>
      <w:pPr>
        <w:pStyle w:val="4"/>
        <w:widowControl w:val="0"/>
      </w:pPr>
      <w:bookmarkStart w:id="54" w:name="_Toc103699717"/>
      <w:bookmarkStart w:id="55" w:name="_Toc16424"/>
      <w:r>
        <w:t>建筑运行</w:t>
      </w:r>
      <w:bookmarkEnd w:id="54"/>
      <w:r>
        <w:rPr>
          <w:rFonts w:hint="eastAsia"/>
        </w:rPr>
        <w:t>使用阶段Use</w:t>
      </w:r>
      <w:r>
        <w:t xml:space="preserve"> stage</w:t>
      </w:r>
      <w:bookmarkEnd w:id="55"/>
    </w:p>
    <w:p>
      <w:pPr>
        <w:pStyle w:val="5"/>
      </w:pPr>
      <w:bookmarkStart w:id="56" w:name="_Toc31764"/>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pPr>
              <w:ind w:firstLine="0" w:firstLineChars="0"/>
              <w:jc w:val="center"/>
              <w:rPr>
                <w:lang w:val="en-US"/>
              </w:rPr>
            </w:pPr>
            <w:r>
              <w:rPr>
                <w:rFonts w:hint="eastAsia"/>
                <w:lang w:val="en-US"/>
              </w:rPr>
              <w:t>类别</w:t>
            </w:r>
          </w:p>
        </w:tc>
        <w:tc>
          <w:tcPr>
            <w:tcW w:w="1985"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pPr>
              <w:ind w:firstLine="0" w:firstLineChars="0"/>
              <w:jc w:val="center"/>
              <w:rPr>
                <w:lang w:val="en-US"/>
              </w:rPr>
            </w:pPr>
            <w:r>
              <w:rPr>
                <w:rFonts w:hint="eastAsia"/>
                <w:lang w:val="en-US"/>
              </w:rPr>
              <w:t>中央冷源</w:t>
            </w:r>
          </w:p>
        </w:tc>
        <w:tc>
          <w:tcPr>
            <w:tcW w:w="1985" w:type="dxa"/>
            <w:vAlign w:val="center"/>
          </w:tcPr>
          <w:p>
            <w:pPr>
              <w:ind w:firstLine="0" w:firstLineChars="0"/>
              <w:jc w:val="center"/>
              <w:rPr>
                <w:lang w:val="en-US"/>
              </w:rPr>
            </w:pPr>
            <w:bookmarkStart w:id="58" w:name="冷源能耗"/>
            <w:r>
              <w:rPr>
                <w:lang w:val="en-US"/>
              </w:rPr>
              <w:t>0.00</w:t>
            </w:r>
            <w:bookmarkEnd w:id="58"/>
          </w:p>
        </w:tc>
        <w:tc>
          <w:tcPr>
            <w:tcW w:w="1701" w:type="dxa"/>
            <w:vMerge w:val="restart"/>
            <w:vAlign w:val="center"/>
          </w:tcPr>
          <w:p>
            <w:pPr>
              <w:ind w:firstLine="0" w:firstLineChars="0"/>
              <w:jc w:val="center"/>
              <w:rPr>
                <w:lang w:val="en-US"/>
              </w:rPr>
            </w:pPr>
            <w:bookmarkStart w:id="59" w:name="电力CO2排放因子"/>
            <w:r>
              <w:t>0.5703</w:t>
            </w:r>
            <w:bookmarkEnd w:id="59"/>
          </w:p>
        </w:tc>
        <w:tc>
          <w:tcPr>
            <w:tcW w:w="1570" w:type="dxa"/>
            <w:vMerge w:val="restart"/>
            <w:vAlign w:val="center"/>
          </w:tcPr>
          <w:p>
            <w:pPr>
              <w:ind w:firstLine="0" w:firstLineChars="0"/>
              <w:jc w:val="center"/>
              <w:rPr>
                <w:lang w:val="en-US"/>
              </w:rPr>
            </w:pPr>
            <w:bookmarkStart w:id="60" w:name="空调能耗_电耗CO2排放"/>
            <w:r>
              <w:t>0.000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shd w:val="clear" w:color="auto" w:fill="FFFFFF"/>
            <w:vAlign w:val="center"/>
          </w:tcPr>
          <w:p>
            <w:pPr>
              <w:ind w:firstLine="0" w:firstLineChars="0"/>
              <w:jc w:val="center"/>
              <w:rPr>
                <w:lang w:val="en-US"/>
              </w:rPr>
            </w:pPr>
            <w:r>
              <w:rPr>
                <w:rFonts w:hint="eastAsia"/>
                <w:lang w:val="en-US"/>
              </w:rPr>
              <w:t>冷却水泵</w:t>
            </w:r>
          </w:p>
        </w:tc>
        <w:tc>
          <w:tcPr>
            <w:tcW w:w="1985" w:type="dxa"/>
            <w:vAlign w:val="center"/>
          </w:tcPr>
          <w:p>
            <w:pPr>
              <w:ind w:firstLine="0" w:firstLineChars="0"/>
              <w:jc w:val="center"/>
              <w:rPr>
                <w:lang w:val="en-US"/>
              </w:rPr>
            </w:pPr>
            <w:bookmarkStart w:id="61" w:name="冷却水泵能耗"/>
            <w:r>
              <w:rPr>
                <w:lang w:val="en-US"/>
              </w:rPr>
              <w:t>0.00</w:t>
            </w:r>
            <w:bookmarkEnd w:id="6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shd w:val="clear" w:color="auto" w:fill="FFFFFF"/>
            <w:vAlign w:val="center"/>
          </w:tcPr>
          <w:p>
            <w:pPr>
              <w:ind w:firstLine="0" w:firstLineChars="0"/>
              <w:jc w:val="center"/>
              <w:rPr>
                <w:lang w:val="en-US"/>
              </w:rPr>
            </w:pPr>
            <w:r>
              <w:rPr>
                <w:rFonts w:hint="eastAsia"/>
                <w:lang w:val="en-US"/>
              </w:rPr>
              <w:t>冷冻水泵</w:t>
            </w:r>
          </w:p>
        </w:tc>
        <w:tc>
          <w:tcPr>
            <w:tcW w:w="1985" w:type="dxa"/>
            <w:vAlign w:val="center"/>
          </w:tcPr>
          <w:p>
            <w:pPr>
              <w:ind w:firstLine="0" w:firstLineChars="0"/>
              <w:jc w:val="center"/>
              <w:rPr>
                <w:lang w:val="en-US"/>
              </w:rPr>
            </w:pPr>
            <w:bookmarkStart w:id="62" w:name="冷冻水泵能耗"/>
            <w:r>
              <w:rPr>
                <w:lang w:val="en-US"/>
              </w:rPr>
              <w:t>0.00</w:t>
            </w:r>
            <w:bookmarkEnd w:id="62"/>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985" w:type="dxa"/>
            <w:vAlign w:val="center"/>
          </w:tcPr>
          <w:p>
            <w:pPr>
              <w:ind w:firstLine="0" w:firstLineChars="0"/>
              <w:jc w:val="center"/>
              <w:rPr>
                <w:lang w:val="en-US"/>
              </w:rPr>
            </w:pPr>
            <w:bookmarkStart w:id="63" w:name="冷却塔能耗"/>
            <w:r>
              <w:rPr>
                <w:rFonts w:hint="eastAsia"/>
                <w:lang w:val="en-US"/>
              </w:rPr>
              <w:t>0.00</w:t>
            </w:r>
            <w:bookmarkEnd w:id="63"/>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shd w:val="clear" w:color="auto" w:fill="FFFFFF"/>
            <w:vAlign w:val="center"/>
          </w:tcPr>
          <w:p>
            <w:pPr>
              <w:ind w:firstLine="0" w:firstLineChars="0"/>
              <w:jc w:val="center"/>
              <w:rPr>
                <w:lang w:val="en-US"/>
              </w:rPr>
            </w:pPr>
            <w:r>
              <w:rPr>
                <w:rFonts w:hint="eastAsia"/>
                <w:lang w:val="en-US"/>
              </w:rPr>
              <w:t>多联机/单元式空调</w:t>
            </w:r>
          </w:p>
        </w:tc>
        <w:tc>
          <w:tcPr>
            <w:tcW w:w="1985" w:type="dxa"/>
            <w:vAlign w:val="center"/>
          </w:tcPr>
          <w:p>
            <w:pPr>
              <w:ind w:firstLine="0" w:firstLineChars="0"/>
              <w:jc w:val="center"/>
              <w:rPr>
                <w:lang w:val="en-US"/>
              </w:rPr>
            </w:pPr>
            <w:bookmarkStart w:id="64" w:name="单元式空调能耗"/>
            <w:r>
              <w:rPr>
                <w:lang w:val="en-US"/>
              </w:rPr>
              <w:t>0.00</w:t>
            </w:r>
            <w:bookmarkEnd w:id="6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bottom w:val="single" w:color="auto" w:sz="4" w:space="0"/>
            </w:tcBorders>
            <w:shd w:val="clear" w:color="auto" w:fill="FFFFFF"/>
            <w:vAlign w:val="center"/>
          </w:tcPr>
          <w:p>
            <w:pPr>
              <w:ind w:firstLine="0" w:firstLineChars="0"/>
              <w:jc w:val="center"/>
              <w:rPr>
                <w:lang w:val="en-US"/>
              </w:rPr>
            </w:pPr>
            <w:r>
              <w:rPr>
                <w:rFonts w:hint="eastAsia"/>
                <w:lang w:val="en-US"/>
              </w:rPr>
              <w:t>供冷合计</w:t>
            </w:r>
          </w:p>
        </w:tc>
        <w:tc>
          <w:tcPr>
            <w:tcW w:w="1985" w:type="dxa"/>
            <w:vAlign w:val="center"/>
          </w:tcPr>
          <w:p>
            <w:pPr>
              <w:ind w:firstLine="0" w:firstLineChars="0"/>
              <w:jc w:val="center"/>
              <w:rPr>
                <w:lang w:val="en-US"/>
              </w:rPr>
            </w:pPr>
            <w:bookmarkStart w:id="65" w:name="空调能耗"/>
            <w:r>
              <w:rPr>
                <w:lang w:val="en-US"/>
              </w:rPr>
              <w:t>0.00</w:t>
            </w:r>
            <w:bookmarkEnd w:id="6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中央热源</w:t>
            </w:r>
          </w:p>
        </w:tc>
        <w:tc>
          <w:tcPr>
            <w:tcW w:w="1985" w:type="dxa"/>
            <w:vAlign w:val="center"/>
          </w:tcPr>
          <w:p>
            <w:pPr>
              <w:ind w:firstLine="0" w:firstLineChars="0"/>
              <w:jc w:val="center"/>
              <w:rPr>
                <w:lang w:val="en-US"/>
              </w:rPr>
            </w:pPr>
            <w:bookmarkStart w:id="66" w:name="热源能耗"/>
            <w:r>
              <w:rPr>
                <w:lang w:val="en-US"/>
              </w:rPr>
              <w:t>1674.10</w:t>
            </w:r>
            <w:bookmarkEnd w:id="66"/>
          </w:p>
        </w:tc>
        <w:tc>
          <w:tcPr>
            <w:tcW w:w="1701" w:type="dxa"/>
            <w:vMerge w:val="restart"/>
            <w:vAlign w:val="center"/>
          </w:tcPr>
          <w:p>
            <w:pPr>
              <w:ind w:firstLine="0" w:firstLineChars="0"/>
              <w:jc w:val="center"/>
              <w:rPr>
                <w:lang w:val="en-US"/>
              </w:rPr>
            </w:pPr>
            <w:bookmarkStart w:id="67" w:name="电力CO2排放因子2"/>
            <w:r>
              <w:t>0.5703</w:t>
            </w:r>
            <w:bookmarkEnd w:id="67"/>
          </w:p>
        </w:tc>
        <w:tc>
          <w:tcPr>
            <w:tcW w:w="1570" w:type="dxa"/>
            <w:vMerge w:val="restart"/>
            <w:vAlign w:val="center"/>
          </w:tcPr>
          <w:p>
            <w:pPr>
              <w:ind w:firstLine="0" w:firstLineChars="0"/>
              <w:jc w:val="center"/>
              <w:rPr>
                <w:lang w:val="en-US"/>
              </w:rPr>
            </w:pPr>
            <w:bookmarkStart w:id="68" w:name="供暖能耗_电耗CO2排放"/>
            <w:r>
              <w:t>10579.450</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供暖水泵</w:t>
            </w:r>
          </w:p>
        </w:tc>
        <w:tc>
          <w:tcPr>
            <w:tcW w:w="1985" w:type="dxa"/>
            <w:vAlign w:val="center"/>
          </w:tcPr>
          <w:p>
            <w:pPr>
              <w:ind w:firstLine="0" w:firstLineChars="0"/>
              <w:jc w:val="center"/>
              <w:rPr>
                <w:lang w:val="en-US"/>
              </w:rPr>
            </w:pPr>
            <w:bookmarkStart w:id="69" w:name="热水泵能耗"/>
            <w:r>
              <w:rPr>
                <w:lang w:val="en-US"/>
              </w:rPr>
              <w:t>711.41</w:t>
            </w:r>
            <w:bookmarkEnd w:id="69"/>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985" w:type="dxa"/>
            <w:vAlign w:val="center"/>
          </w:tcPr>
          <w:p>
            <w:pPr>
              <w:ind w:firstLine="0" w:firstLineChars="0"/>
              <w:jc w:val="center"/>
              <w:rPr>
                <w:lang w:val="en-US"/>
              </w:rPr>
            </w:pPr>
            <w:bookmarkStart w:id="70" w:name="供暖热源侧水泵能耗"/>
            <w:r>
              <w:rPr>
                <w:rFonts w:hint="eastAsia"/>
                <w:lang w:val="en-US"/>
              </w:rPr>
              <w:t>148.48</w:t>
            </w:r>
            <w:bookmarkEnd w:id="70"/>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多联机/单元式热泵</w:t>
            </w:r>
          </w:p>
        </w:tc>
        <w:tc>
          <w:tcPr>
            <w:tcW w:w="1985" w:type="dxa"/>
            <w:vAlign w:val="center"/>
          </w:tcPr>
          <w:p>
            <w:pPr>
              <w:ind w:firstLine="0" w:firstLineChars="0"/>
              <w:jc w:val="center"/>
              <w:rPr>
                <w:lang w:val="en-US"/>
              </w:rPr>
            </w:pPr>
            <w:bookmarkStart w:id="71" w:name="单元式热泵能耗"/>
            <w:r>
              <w:rPr>
                <w:lang w:val="en-US"/>
              </w:rPr>
              <w:t>0.00</w:t>
            </w:r>
            <w:bookmarkEnd w:id="71"/>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供暖合计</w:t>
            </w:r>
          </w:p>
        </w:tc>
        <w:tc>
          <w:tcPr>
            <w:tcW w:w="1985" w:type="dxa"/>
            <w:vAlign w:val="center"/>
          </w:tcPr>
          <w:p>
            <w:pPr>
              <w:ind w:firstLine="0" w:firstLineChars="0"/>
              <w:jc w:val="center"/>
              <w:rPr>
                <w:lang w:val="en-US"/>
              </w:rPr>
            </w:pPr>
            <w:bookmarkStart w:id="72" w:name="供暖能耗"/>
            <w:r>
              <w:rPr>
                <w:lang w:val="en-US"/>
              </w:rPr>
              <w:t>2533.99</w:t>
            </w:r>
            <w:bookmarkEnd w:id="72"/>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新排风</w:t>
            </w:r>
          </w:p>
        </w:tc>
        <w:tc>
          <w:tcPr>
            <w:tcW w:w="1985" w:type="dxa"/>
            <w:vAlign w:val="center"/>
          </w:tcPr>
          <w:p>
            <w:pPr>
              <w:ind w:firstLine="0" w:firstLineChars="0"/>
              <w:jc w:val="center"/>
              <w:rPr>
                <w:lang w:val="en-US"/>
              </w:rPr>
            </w:pPr>
            <w:bookmarkStart w:id="73" w:name="新排风系统能耗"/>
            <w:r>
              <w:rPr>
                <w:rFonts w:hint="eastAsia"/>
                <w:lang w:val="en-US"/>
              </w:rPr>
              <w:t>1115.28</w:t>
            </w:r>
            <w:bookmarkEnd w:id="73"/>
          </w:p>
        </w:tc>
        <w:tc>
          <w:tcPr>
            <w:tcW w:w="1701" w:type="dxa"/>
            <w:vMerge w:val="restart"/>
            <w:vAlign w:val="center"/>
          </w:tcPr>
          <w:p>
            <w:pPr>
              <w:ind w:firstLine="0" w:firstLineChars="0"/>
              <w:jc w:val="center"/>
              <w:rPr>
                <w:lang w:val="en-US"/>
              </w:rPr>
            </w:pPr>
            <w:bookmarkStart w:id="74" w:name="电力CO2排放因子3"/>
            <w:r>
              <w:t>0.5703</w:t>
            </w:r>
            <w:bookmarkEnd w:id="74"/>
          </w:p>
        </w:tc>
        <w:tc>
          <w:tcPr>
            <w:tcW w:w="1570" w:type="dxa"/>
            <w:vMerge w:val="restart"/>
            <w:vAlign w:val="center"/>
          </w:tcPr>
          <w:p>
            <w:pPr>
              <w:ind w:firstLine="0" w:firstLineChars="0"/>
              <w:jc w:val="center"/>
              <w:rPr>
                <w:lang w:val="en-US"/>
              </w:rPr>
            </w:pPr>
            <w:bookmarkStart w:id="75" w:name="空调动力能耗_电耗CO2排放"/>
            <w:r>
              <w:t>4702.777</w:t>
            </w:r>
            <w:bookmarkEnd w:id="7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风机盘管</w:t>
            </w:r>
          </w:p>
        </w:tc>
        <w:tc>
          <w:tcPr>
            <w:tcW w:w="1985" w:type="dxa"/>
            <w:vAlign w:val="center"/>
          </w:tcPr>
          <w:p>
            <w:pPr>
              <w:ind w:firstLine="0" w:firstLineChars="0"/>
              <w:jc w:val="center"/>
              <w:rPr>
                <w:lang w:val="en-US"/>
              </w:rPr>
            </w:pPr>
            <w:bookmarkStart w:id="76" w:name="风机盘管能耗"/>
            <w:r>
              <w:rPr>
                <w:rFonts w:hint="eastAsia"/>
                <w:lang w:val="en-US"/>
              </w:rPr>
              <w:t>11.14</w:t>
            </w:r>
            <w:bookmarkEnd w:id="7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1985" w:type="dxa"/>
            <w:vAlign w:val="center"/>
          </w:tcPr>
          <w:p>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风机合计</w:t>
            </w:r>
          </w:p>
        </w:tc>
        <w:tc>
          <w:tcPr>
            <w:tcW w:w="1985" w:type="dxa"/>
            <w:vAlign w:val="center"/>
          </w:tcPr>
          <w:p>
            <w:pPr>
              <w:ind w:firstLine="0" w:firstLineChars="0"/>
              <w:jc w:val="center"/>
              <w:rPr>
                <w:lang w:val="en-US"/>
              </w:rPr>
            </w:pPr>
            <w:bookmarkStart w:id="78" w:name="空调动力能耗"/>
            <w:r>
              <w:rPr>
                <w:rFonts w:hint="eastAsia"/>
                <w:lang w:val="en-US"/>
              </w:rPr>
              <w:t>1126.41</w:t>
            </w:r>
            <w:bookmarkEnd w:id="7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pPr>
              <w:ind w:firstLine="0" w:firstLineChars="0"/>
              <w:jc w:val="center"/>
              <w:rPr>
                <w:lang w:val="en-US"/>
              </w:rPr>
            </w:pPr>
            <w:r>
              <w:rPr>
                <w:rFonts w:hint="eastAsia"/>
                <w:lang w:val="en-US"/>
              </w:rPr>
              <w:t>照明</w:t>
            </w:r>
          </w:p>
        </w:tc>
        <w:tc>
          <w:tcPr>
            <w:tcW w:w="1985" w:type="dxa"/>
            <w:vAlign w:val="center"/>
          </w:tcPr>
          <w:p>
            <w:pPr>
              <w:ind w:firstLine="0" w:firstLineChars="0"/>
              <w:jc w:val="center"/>
              <w:rPr>
                <w:lang w:val="en-US"/>
              </w:rPr>
            </w:pPr>
            <w:bookmarkStart w:id="79" w:name="照明能耗"/>
            <w:r>
              <w:rPr>
                <w:rFonts w:hint="eastAsia"/>
                <w:lang w:val="en-US"/>
              </w:rPr>
              <w:t>1534.13</w:t>
            </w:r>
            <w:bookmarkEnd w:id="79"/>
          </w:p>
        </w:tc>
        <w:tc>
          <w:tcPr>
            <w:tcW w:w="1701" w:type="dxa"/>
            <w:vAlign w:val="center"/>
          </w:tcPr>
          <w:p>
            <w:pPr>
              <w:ind w:firstLine="0" w:firstLineChars="0"/>
              <w:jc w:val="center"/>
              <w:rPr>
                <w:lang w:val="en-US"/>
              </w:rPr>
            </w:pPr>
            <w:bookmarkStart w:id="80" w:name="电力CO2排放因子4"/>
            <w:r>
              <w:t>0.5703</w:t>
            </w:r>
            <w:bookmarkEnd w:id="80"/>
          </w:p>
        </w:tc>
        <w:tc>
          <w:tcPr>
            <w:tcW w:w="1570" w:type="dxa"/>
          </w:tcPr>
          <w:p>
            <w:pPr>
              <w:ind w:firstLine="0" w:firstLineChars="0"/>
              <w:jc w:val="center"/>
              <w:rPr>
                <w:lang w:val="en-US"/>
              </w:rPr>
            </w:pPr>
            <w:bookmarkStart w:id="81" w:name="照明能耗_电耗CO2排放"/>
            <w:r>
              <w:t>6405.017</w:t>
            </w:r>
            <w:bookmarkEnd w:id="8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pPr>
              <w:ind w:firstLine="0" w:firstLineChars="0"/>
              <w:jc w:val="center"/>
              <w:rPr>
                <w:lang w:val="en-US"/>
              </w:rPr>
            </w:pPr>
            <w:bookmarkStart w:id="82" w:name="插座设备"/>
            <w:bookmarkEnd w:id="82"/>
            <w:r>
              <w:rPr>
                <w:rFonts w:hint="eastAsia"/>
                <w:lang w:val="en-US"/>
              </w:rPr>
              <w:t>插座</w:t>
            </w:r>
            <w:r>
              <w:rPr>
                <w:lang w:val="en-US"/>
              </w:rPr>
              <w:t>设备</w:t>
            </w:r>
          </w:p>
        </w:tc>
        <w:tc>
          <w:tcPr>
            <w:tcW w:w="1985" w:type="dxa"/>
            <w:vAlign w:val="center"/>
          </w:tcPr>
          <w:p>
            <w:pPr>
              <w:ind w:firstLine="0" w:firstLineChars="0"/>
              <w:jc w:val="center"/>
              <w:rPr>
                <w:lang w:val="en-US"/>
              </w:rPr>
            </w:pPr>
            <w:bookmarkStart w:id="83" w:name="设备用电"/>
            <w:r>
              <w:rPr>
                <w:rFonts w:hint="eastAsia"/>
                <w:lang w:val="en-US"/>
              </w:rPr>
              <w:t>2663.83</w:t>
            </w:r>
            <w:bookmarkEnd w:id="83"/>
          </w:p>
        </w:tc>
        <w:tc>
          <w:tcPr>
            <w:tcW w:w="1701" w:type="dxa"/>
            <w:vAlign w:val="center"/>
          </w:tcPr>
          <w:p>
            <w:pPr>
              <w:ind w:firstLine="0" w:firstLineChars="0"/>
              <w:jc w:val="center"/>
              <w:rPr>
                <w:lang w:val="en-US"/>
              </w:rPr>
            </w:pPr>
            <w:bookmarkStart w:id="84" w:name="电力CO2排放因子5"/>
            <w:r>
              <w:rPr>
                <w:rFonts w:hint="eastAsia"/>
                <w:lang w:val="en-US"/>
              </w:rPr>
              <w:t>0.5703</w:t>
            </w:r>
            <w:bookmarkEnd w:id="84"/>
          </w:p>
        </w:tc>
        <w:tc>
          <w:tcPr>
            <w:tcW w:w="1570" w:type="dxa"/>
          </w:tcPr>
          <w:p>
            <w:pPr>
              <w:ind w:firstLine="0" w:firstLineChars="0"/>
              <w:jc w:val="center"/>
              <w:rPr>
                <w:lang w:val="en-US"/>
              </w:rPr>
            </w:pPr>
            <w:bookmarkStart w:id="85" w:name="设备用电_电耗CO2排放"/>
            <w:r>
              <w:rPr>
                <w:rFonts w:hint="eastAsia"/>
                <w:lang w:val="en-US"/>
              </w:rPr>
              <w:t>11121.513</w:t>
            </w:r>
            <w:bookmarkEnd w:id="8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电梯</w:t>
            </w:r>
          </w:p>
        </w:tc>
        <w:tc>
          <w:tcPr>
            <w:tcW w:w="1985" w:type="dxa"/>
            <w:vAlign w:val="center"/>
          </w:tcPr>
          <w:p>
            <w:pPr>
              <w:ind w:firstLine="0" w:firstLineChars="0"/>
              <w:jc w:val="center"/>
              <w:rPr>
                <w:lang w:val="en-US"/>
              </w:rPr>
            </w:pPr>
            <w:bookmarkStart w:id="86" w:name="动力系统能耗"/>
            <w:r>
              <w:rPr>
                <w:rFonts w:hint="eastAsia"/>
                <w:lang w:val="en-US"/>
              </w:rPr>
              <w:t>0.00</w:t>
            </w:r>
            <w:bookmarkEnd w:id="86"/>
          </w:p>
        </w:tc>
        <w:tc>
          <w:tcPr>
            <w:tcW w:w="1701" w:type="dxa"/>
            <w:vMerge w:val="restart"/>
            <w:vAlign w:val="center"/>
          </w:tcPr>
          <w:p>
            <w:pPr>
              <w:ind w:firstLine="0" w:firstLineChars="0"/>
              <w:jc w:val="center"/>
              <w:rPr>
                <w:lang w:val="en-US"/>
              </w:rPr>
            </w:pPr>
            <w:bookmarkStart w:id="87" w:name="电力CO2排放因子6"/>
            <w:r>
              <w:t>0.5703</w:t>
            </w:r>
            <w:bookmarkEnd w:id="87"/>
          </w:p>
        </w:tc>
        <w:tc>
          <w:tcPr>
            <w:tcW w:w="1570" w:type="dxa"/>
            <w:vMerge w:val="restart"/>
            <w:vAlign w:val="center"/>
          </w:tcPr>
          <w:p>
            <w:pPr>
              <w:ind w:firstLine="0" w:firstLineChars="0"/>
              <w:jc w:val="center"/>
              <w:rPr>
                <w:lang w:val="en-US"/>
              </w:rPr>
            </w:pPr>
            <w:bookmarkStart w:id="88" w:name="其他能耗_电耗CO2排放"/>
            <w:r>
              <w:t>0.000</w:t>
            </w:r>
            <w:bookmarkEnd w:id="8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排风机</w:t>
            </w:r>
          </w:p>
        </w:tc>
        <w:tc>
          <w:tcPr>
            <w:tcW w:w="1985" w:type="dxa"/>
            <w:vAlign w:val="center"/>
          </w:tcPr>
          <w:p>
            <w:pPr>
              <w:ind w:firstLine="0" w:firstLineChars="0"/>
              <w:jc w:val="center"/>
              <w:rPr>
                <w:lang w:val="en-US"/>
              </w:rPr>
            </w:pPr>
            <w:bookmarkStart w:id="89" w:name="排风机能耗"/>
            <w:r>
              <w:rPr>
                <w:rFonts w:hint="eastAsia"/>
                <w:lang w:val="en-US"/>
              </w:rPr>
              <w:t>0.00</w:t>
            </w:r>
            <w:bookmarkEnd w:id="8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bookmarkStart w:id="90" w:name="生活热水_电能"/>
            <w:bookmarkEnd w:id="90"/>
            <w:r>
              <w:rPr>
                <w:rFonts w:hint="eastAsia"/>
                <w:lang w:val="en-US"/>
              </w:rPr>
              <w:t>生活热水(扣减</w:t>
            </w:r>
            <w:r>
              <w:rPr>
                <w:lang w:val="en-US"/>
              </w:rPr>
              <w:t>了太阳能</w:t>
            </w:r>
            <w:r>
              <w:rPr>
                <w:rFonts w:hint="eastAsia"/>
                <w:lang w:val="en-US"/>
              </w:rPr>
              <w:t>)</w:t>
            </w:r>
          </w:p>
        </w:tc>
        <w:tc>
          <w:tcPr>
            <w:tcW w:w="1985" w:type="dxa"/>
            <w:vAlign w:val="center"/>
          </w:tcPr>
          <w:p>
            <w:pPr>
              <w:ind w:firstLine="0" w:firstLineChars="0"/>
              <w:jc w:val="center"/>
              <w:rPr>
                <w:lang w:val="en-US"/>
              </w:rPr>
            </w:pPr>
            <w:bookmarkStart w:id="91" w:name="热水系统能耗"/>
            <w:r>
              <w:rPr>
                <w:rFonts w:hint="eastAsia"/>
                <w:lang w:val="en-US"/>
              </w:rPr>
              <w:t>0.00</w:t>
            </w:r>
            <w:bookmarkEnd w:id="91"/>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其他设备</w:t>
            </w:r>
          </w:p>
        </w:tc>
        <w:tc>
          <w:tcPr>
            <w:tcW w:w="1985" w:type="dxa"/>
            <w:vAlign w:val="center"/>
          </w:tcPr>
          <w:p>
            <w:pPr>
              <w:ind w:firstLine="0" w:firstLineChars="0"/>
              <w:jc w:val="center"/>
              <w:rPr>
                <w:lang w:val="en-US"/>
              </w:rPr>
            </w:pPr>
            <w:bookmarkStart w:id="92" w:name="其他设备能耗"/>
            <w:r>
              <w:rPr>
                <w:rFonts w:hint="eastAsia"/>
                <w:lang w:val="en-US"/>
              </w:rPr>
              <w:t>0.00</w:t>
            </w:r>
            <w:bookmarkEnd w:id="9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合计</w:t>
            </w:r>
          </w:p>
        </w:tc>
        <w:tc>
          <w:tcPr>
            <w:tcW w:w="1985" w:type="dxa"/>
            <w:vAlign w:val="center"/>
          </w:tcPr>
          <w:p>
            <w:pPr>
              <w:ind w:firstLine="0" w:firstLineChars="0"/>
              <w:jc w:val="center"/>
              <w:rPr>
                <w:lang w:val="en-US"/>
              </w:rPr>
            </w:pPr>
            <w:bookmarkStart w:id="93" w:name="其他能耗"/>
            <w:r>
              <w:rPr>
                <w:rFonts w:hint="eastAsia"/>
                <w:lang w:val="en-US"/>
              </w:rPr>
              <w:t>0.00</w:t>
            </w:r>
            <w:bookmarkEnd w:id="93"/>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94" w:name="化石燃料类别"/>
            <w:r>
              <w:rPr>
                <w:rFonts w:hint="eastAsia"/>
                <w:lang w:val="en-US"/>
              </w:rPr>
              <w:t>化石</w:t>
            </w:r>
            <w:r>
              <w:rPr>
                <w:lang w:val="en-US"/>
              </w:rPr>
              <w:t>燃料</w:t>
            </w:r>
            <w:bookmarkEnd w:id="94"/>
          </w:p>
        </w:tc>
        <w:tc>
          <w:tcPr>
            <w:tcW w:w="2551" w:type="dxa"/>
            <w:tcBorders>
              <w:top w:val="single" w:color="auto" w:sz="4" w:space="0"/>
              <w:bottom w:val="single" w:color="auto" w:sz="4" w:space="0"/>
            </w:tcBorders>
            <w:shd w:val="clear" w:color="auto" w:fill="D0CECE"/>
            <w:vAlign w:val="center"/>
          </w:tcPr>
          <w:p>
            <w:pPr>
              <w:ind w:firstLine="0" w:firstLineChars="0"/>
              <w:jc w:val="center"/>
              <w:rPr>
                <w:lang w:val="en-US"/>
              </w:rPr>
            </w:pPr>
            <w:r>
              <w:rPr>
                <w:rFonts w:hint="eastAsia"/>
                <w:lang w:val="en-US"/>
              </w:rPr>
              <w:t>所属类别</w:t>
            </w:r>
          </w:p>
        </w:tc>
        <w:tc>
          <w:tcPr>
            <w:tcW w:w="1985"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95" w:name="炊事能耗_燃料类型"/>
            <w:r>
              <w:rPr>
                <w:rFonts w:hint="eastAsia"/>
                <w:lang w:val="en-US"/>
              </w:rPr>
              <w:t>燃气</w:t>
            </w:r>
            <w:bookmarkEnd w:id="95"/>
          </w:p>
        </w:tc>
        <w:tc>
          <w:tcPr>
            <w:tcW w:w="2551" w:type="dxa"/>
            <w:shd w:val="clear" w:color="auto" w:fill="FFFFFF"/>
            <w:vAlign w:val="center"/>
          </w:tcPr>
          <w:p>
            <w:pPr>
              <w:ind w:firstLine="0" w:firstLineChars="0"/>
              <w:jc w:val="center"/>
              <w:rPr>
                <w:lang w:val="en-US"/>
              </w:rPr>
            </w:pPr>
            <w:r>
              <w:rPr>
                <w:rFonts w:hint="eastAsia"/>
                <w:lang w:val="en-US"/>
              </w:rPr>
              <w:t>炊事</w:t>
            </w:r>
          </w:p>
        </w:tc>
        <w:tc>
          <w:tcPr>
            <w:tcW w:w="1985" w:type="dxa"/>
            <w:shd w:val="clear" w:color="auto" w:fill="FFFFFF"/>
            <w:vAlign w:val="center"/>
          </w:tcPr>
          <w:p>
            <w:pPr>
              <w:ind w:firstLine="0" w:firstLineChars="0"/>
              <w:jc w:val="center"/>
              <w:rPr>
                <w:lang w:val="en-US"/>
              </w:rPr>
            </w:pPr>
            <w:bookmarkStart w:id="96" w:name="炊事燃气消耗"/>
            <w:r>
              <w:rPr>
                <w:rFonts w:hint="eastAsia"/>
                <w:lang w:val="en-US"/>
              </w:rPr>
              <w:t>3829.00</w:t>
            </w:r>
            <w:bookmarkEnd w:id="96"/>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97" w:name="炊事能耗_燃料CO2排放因子"/>
            <w:r>
              <w:t>55.54</w:t>
            </w:r>
            <w:bookmarkEnd w:id="97"/>
          </w:p>
        </w:tc>
        <w:tc>
          <w:tcPr>
            <w:tcW w:w="1570" w:type="dxa"/>
            <w:shd w:val="clear" w:color="auto" w:fill="FFFFFF"/>
            <w:vAlign w:val="center"/>
          </w:tcPr>
          <w:p>
            <w:pPr>
              <w:ind w:firstLine="0" w:firstLineChars="0"/>
              <w:jc w:val="center"/>
              <w:rPr>
                <w:lang w:val="en-US"/>
              </w:rPr>
            </w:pPr>
            <w:bookmarkStart w:id="98" w:name="炊事碳排放"/>
            <w:r>
              <w:t>55317.862</w:t>
            </w:r>
            <w:bookmarkEnd w:id="9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551" w:type="dxa"/>
            <w:shd w:val="clear" w:color="auto" w:fill="D0CECE"/>
            <w:vAlign w:val="center"/>
          </w:tcPr>
          <w:p>
            <w:pPr>
              <w:ind w:firstLine="0" w:firstLineChars="0"/>
              <w:jc w:val="center"/>
              <w:rPr>
                <w:lang w:val="en-US"/>
              </w:rPr>
            </w:pPr>
            <w:r>
              <w:rPr>
                <w:rFonts w:hint="eastAsia"/>
                <w:lang w:val="en-US"/>
              </w:rPr>
              <w:t>所属类别</w:t>
            </w:r>
          </w:p>
        </w:tc>
        <w:tc>
          <w:tcPr>
            <w:tcW w:w="3686"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551" w:type="dxa"/>
            <w:shd w:val="clear" w:color="auto" w:fill="FFFFFF"/>
            <w:vAlign w:val="center"/>
          </w:tcPr>
          <w:p>
            <w:pPr>
              <w:ind w:firstLine="0" w:firstLineChars="0"/>
              <w:jc w:val="center"/>
              <w:rPr>
                <w:lang w:val="en-US"/>
              </w:rPr>
            </w:pPr>
            <w:r>
              <w:rPr>
                <w:rFonts w:hint="eastAsia"/>
                <w:lang w:val="en-US"/>
              </w:rPr>
              <w:t>供冷</w:t>
            </w:r>
          </w:p>
        </w:tc>
        <w:tc>
          <w:tcPr>
            <w:tcW w:w="3686" w:type="dxa"/>
            <w:gridSpan w:val="2"/>
            <w:shd w:val="clear" w:color="auto" w:fill="FFFFFF"/>
            <w:vAlign w:val="center"/>
          </w:tcPr>
          <w:p>
            <w:pPr>
              <w:ind w:firstLine="0" w:firstLineChars="0"/>
              <w:jc w:val="center"/>
              <w:rPr>
                <w:lang w:val="en-US"/>
              </w:rPr>
            </w:pPr>
            <w:bookmarkStart w:id="99" w:name="制冷剂消耗量"/>
            <w:r>
              <w:t>0</w:t>
            </w:r>
            <w:bookmarkEnd w:id="99"/>
          </w:p>
        </w:tc>
        <w:tc>
          <w:tcPr>
            <w:tcW w:w="1570" w:type="dxa"/>
            <w:shd w:val="clear" w:color="auto" w:fill="FFFFFF"/>
            <w:vAlign w:val="center"/>
          </w:tcPr>
          <w:p>
            <w:pPr>
              <w:ind w:firstLine="0" w:firstLineChars="0"/>
              <w:jc w:val="center"/>
              <w:rPr>
                <w:lang w:val="en-US"/>
              </w:rPr>
            </w:pPr>
            <w:bookmarkStart w:id="100" w:name="制冷剂碳排放"/>
            <w:r>
              <w:t>0.000</w:t>
            </w:r>
            <w:bookmarkEnd w:id="10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551" w:type="dxa"/>
            <w:shd w:val="clear" w:color="auto" w:fill="D0CECE"/>
            <w:vAlign w:val="center"/>
          </w:tcPr>
          <w:p>
            <w:pPr>
              <w:ind w:firstLine="0" w:firstLineChars="0"/>
              <w:jc w:val="center"/>
              <w:rPr>
                <w:lang w:val="en-US"/>
              </w:rPr>
            </w:pPr>
            <w:r>
              <w:rPr>
                <w:rFonts w:hint="eastAsia"/>
                <w:lang w:val="en-US"/>
              </w:rPr>
              <w:t>类别</w:t>
            </w:r>
          </w:p>
        </w:tc>
        <w:tc>
          <w:tcPr>
            <w:tcW w:w="1985"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光伏(</w:t>
            </w:r>
            <w:r>
              <w:rPr>
                <w:lang w:val="en-US"/>
              </w:rPr>
              <w:t>Ep)</w:t>
            </w:r>
          </w:p>
        </w:tc>
        <w:tc>
          <w:tcPr>
            <w:tcW w:w="1985" w:type="dxa"/>
            <w:vAlign w:val="center"/>
          </w:tcPr>
          <w:p>
            <w:pPr>
              <w:ind w:firstLine="0" w:firstLineChars="0"/>
              <w:jc w:val="center"/>
              <w:rPr>
                <w:lang w:val="en-US"/>
              </w:rPr>
            </w:pPr>
            <w:bookmarkStart w:id="101" w:name="光伏能耗"/>
            <w:r>
              <w:rPr>
                <w:rFonts w:hint="eastAsia"/>
                <w:lang w:val="en-US"/>
              </w:rPr>
              <w:t>0.00</w:t>
            </w:r>
            <w:bookmarkEnd w:id="101"/>
          </w:p>
        </w:tc>
        <w:tc>
          <w:tcPr>
            <w:tcW w:w="1701" w:type="dxa"/>
            <w:vMerge w:val="restart"/>
            <w:vAlign w:val="center"/>
          </w:tcPr>
          <w:p>
            <w:pPr>
              <w:ind w:firstLine="0" w:firstLineChars="0"/>
              <w:jc w:val="center"/>
              <w:rPr>
                <w:lang w:val="en-US"/>
              </w:rPr>
            </w:pPr>
            <w:bookmarkStart w:id="102" w:name="电力CO2排放因子7"/>
            <w:r>
              <w:t>0.5703</w:t>
            </w:r>
            <w:bookmarkEnd w:id="102"/>
          </w:p>
        </w:tc>
        <w:tc>
          <w:tcPr>
            <w:tcW w:w="1570" w:type="dxa"/>
          </w:tcPr>
          <w:p>
            <w:pPr>
              <w:ind w:firstLine="0" w:firstLineChars="0"/>
              <w:jc w:val="center"/>
              <w:rPr>
                <w:lang w:val="en-US"/>
              </w:rPr>
            </w:pPr>
            <w:bookmarkStart w:id="103" w:name="光伏能耗_电耗CO2排放"/>
            <w:r>
              <w:t>0.000</w:t>
            </w:r>
            <w:bookmarkEnd w:id="10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pPr>
              <w:ind w:firstLine="0" w:firstLineChars="0"/>
              <w:jc w:val="center"/>
              <w:rPr>
                <w:lang w:val="en-US"/>
              </w:rPr>
            </w:pPr>
            <w:bookmarkStart w:id="104" w:name="风力能耗"/>
            <w:r>
              <w:rPr>
                <w:rFonts w:hint="eastAsia"/>
                <w:lang w:val="en-US"/>
              </w:rPr>
              <w:t>0.00</w:t>
            </w:r>
            <w:bookmarkEnd w:id="104"/>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105" w:name="风力能耗_电耗CO2排放"/>
            <w:r>
              <w:t>0.000</w:t>
            </w:r>
            <w:bookmarkEnd w:id="10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106" w:name="建筑总碳排放"/>
            <w:r>
              <w:t>88126.619</w:t>
            </w:r>
            <w:bookmarkEnd w:id="106"/>
          </w:p>
        </w:tc>
        <w:bookmarkStart w:id="107" w:name="建筑总碳排放平米"/>
        <w:bookmarkEnd w:id="107"/>
      </w:tr>
      <w:bookmarkEnd w:id="57"/>
    </w:tbl>
    <w:p/>
    <w:p>
      <w:pPr>
        <w:pStyle w:val="3"/>
        <w:ind w:firstLine="420"/>
        <w:rPr>
          <w:lang w:val="en-US"/>
        </w:rPr>
      </w:pPr>
      <w:bookmarkStart w:id="108" w:name="建筑运行碳排放表"/>
      <w:bookmarkEnd w:id="108"/>
    </w:p>
    <w:p>
      <w:pPr>
        <w:pStyle w:val="3"/>
        <w:ind w:firstLine="420"/>
        <w:jc w:val="center"/>
        <w:rPr>
          <w:lang w:val="en-US"/>
        </w:rPr>
      </w:pPr>
      <w:bookmarkStart w:id="109" w:name="运行碳排饼图"/>
      <w:bookmarkEnd w:id="109"/>
      <w:r>
        <w:drawing>
          <wp:inline distT="0" distB="0" distL="0" distR="0">
            <wp:extent cx="5667375" cy="55721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pPr>
        <w:pStyle w:val="3"/>
        <w:ind w:firstLine="420"/>
        <w:jc w:val="center"/>
        <w:rPr>
          <w:lang w:val="en-US"/>
        </w:rPr>
      </w:pPr>
      <w:r>
        <w:drawing>
          <wp:inline distT="0" distB="0" distL="0" distR="0">
            <wp:extent cx="5667375" cy="55721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pPr>
        <w:pStyle w:val="3"/>
        <w:ind w:firstLine="420"/>
        <w:rPr>
          <w:lang w:val="en-US"/>
        </w:rPr>
      </w:pPr>
    </w:p>
    <w:p>
      <w:pPr>
        <w:pStyle w:val="5"/>
        <w:tabs>
          <w:tab w:val="clear" w:pos="432"/>
        </w:tabs>
      </w:pPr>
      <w:bookmarkStart w:id="110" w:name="_Toc11415"/>
      <w:r>
        <w:rPr>
          <w:rFonts w:hint="eastAsia"/>
          <w:iCs/>
          <w:sz w:val="24"/>
          <w:szCs w:val="24"/>
        </w:rPr>
        <w:t>建筑维护</w:t>
      </w:r>
      <w:r>
        <w:rPr>
          <w:rFonts w:ascii="微软雅黑" w:cs="微软雅黑"/>
        </w:rPr>
        <w:t xml:space="preserve"> </w:t>
      </w:r>
      <w:r>
        <w:t>Building maintenance</w:t>
      </w:r>
      <w:bookmarkEnd w:id="110"/>
    </w:p>
    <w:p>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pPr>
        <w:pStyle w:val="3"/>
        <w:ind w:firstLine="420"/>
        <w:rPr>
          <w:lang w:val="en-US"/>
        </w:rPr>
      </w:pPr>
      <w:r>
        <w:rPr>
          <w:lang w:val="en-US"/>
        </w:rPr>
        <w:t>本项目根据取舍原则，不考虑该阶段的碳排放。</w:t>
      </w:r>
    </w:p>
    <w:p>
      <w:pPr>
        <w:pStyle w:val="5"/>
        <w:tabs>
          <w:tab w:val="clear" w:pos="432"/>
        </w:tabs>
      </w:pPr>
      <w:bookmarkStart w:id="111" w:name="_Toc15013"/>
      <w:r>
        <w:t xml:space="preserve">建筑碳汇 Carbon sink of </w:t>
      </w:r>
      <w:r>
        <w:rPr>
          <w:rFonts w:hint="eastAsia"/>
        </w:rPr>
        <w:t>life</w:t>
      </w:r>
      <w:r>
        <w:t xml:space="preserve"> stage</w:t>
      </w:r>
      <w:bookmarkEnd w:id="11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绿植</w:t>
            </w:r>
          </w:p>
        </w:tc>
        <w:tc>
          <w:tcPr>
            <w:shd w:val="clear" w:color="auto" w:fill="E6E6E6"/>
            <w:vAlign w:val="center"/>
          </w:tcPr>
          <w:p>
            <w:pPr>
              <w:jc w:val="center"/>
            </w:pPr>
            <w:r>
              <w:t>生长期</w:t>
            </w:r>
            <w:r>
              <w:br w:type="textWrapping"/>
            </w:r>
            <w:r>
              <w:t>修正因子</w:t>
            </w:r>
          </w:p>
        </w:tc>
        <w:tc>
          <w:tcPr>
            <w:shd w:val="clear" w:color="auto" w:fill="E6E6E6"/>
            <w:vAlign w:val="center"/>
          </w:tcPr>
          <w:p>
            <w:pPr>
              <w:jc w:val="center"/>
            </w:pPr>
            <w:r>
              <w:t>CO2固定量</w:t>
            </w:r>
            <w:r>
              <w:br w:type="textWrapping"/>
            </w:r>
            <w:r>
              <w:t>(kg/㎡·a)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碳固定量</w:t>
            </w:r>
            <w:r>
              <w:br w:type="textWrapping"/>
            </w:r>
            <w:r>
              <w:t>(tCO2)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密植灌木丛（高约0.45m，土壤深度&gt;0.5m）</w:t>
            </w:r>
          </w:p>
        </w:tc>
        <w:tc>
          <w:tcPr>
            <w:vAlign w:val="center"/>
          </w:tcPr>
          <w:p>
            <w:r>
              <w:t>0.6</w:t>
            </w:r>
          </w:p>
        </w:tc>
        <w:tc>
          <w:tcPr>
            <w:vAlign w:val="center"/>
          </w:tcPr>
          <w:p>
            <w:r>
              <w:t>5.13</w:t>
            </w:r>
          </w:p>
        </w:tc>
        <w:tc>
          <w:tcPr>
            <w:vAlign w:val="center"/>
          </w:tcPr>
          <w:p>
            <w:r>
              <w:t>15</w:t>
            </w:r>
          </w:p>
        </w:tc>
        <w:tc>
          <w:tcPr>
            <w:vMerge w:val="restart"/>
            <w:vAlign w:val="center"/>
          </w:tcPr>
          <w:p>
            <w:r>
              <w:t>70</w:t>
            </w:r>
          </w:p>
        </w:tc>
        <w:tc>
          <w:tcPr>
            <w:vAlign w:val="center"/>
          </w:tcPr>
          <w:p>
            <w:r>
              <w:t>3.232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多年生蔓藤（以立体攀附面积计算，土壤深度&gt;0.5m）</w:t>
            </w:r>
          </w:p>
        </w:tc>
        <w:tc>
          <w:tcPr>
            <w:vAlign w:val="center"/>
          </w:tcPr>
          <w:p>
            <w:r>
              <w:t>0.6</w:t>
            </w:r>
          </w:p>
        </w:tc>
        <w:tc>
          <w:tcPr>
            <w:vAlign w:val="center"/>
          </w:tcPr>
          <w:p>
            <w:r>
              <w:t>2.58</w:t>
            </w:r>
          </w:p>
        </w:tc>
        <w:tc>
          <w:tcPr>
            <w:vAlign w:val="center"/>
          </w:tcPr>
          <w:p>
            <w:r>
              <w:t>15</w:t>
            </w:r>
          </w:p>
        </w:tc>
        <w:tc>
          <w:tcPr>
            <w:vMerge w:val="continue"/>
            <w:vAlign w:val="center"/>
          </w:tcPr>
          <w:p/>
        </w:tc>
        <w:tc>
          <w:tcPr>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高草花花圃或高茎野草地（高约1.0m，土壤深度&gt;0.3m）</w:t>
            </w:r>
          </w:p>
        </w:tc>
        <w:tc>
          <w:tcPr>
            <w:vAlign w:val="center"/>
          </w:tcPr>
          <w:p>
            <w:r>
              <w:t>0.6</w:t>
            </w:r>
          </w:p>
        </w:tc>
        <w:tc>
          <w:tcPr>
            <w:vAlign w:val="center"/>
          </w:tcPr>
          <w:p>
            <w:r>
              <w:t>1.15</w:t>
            </w:r>
          </w:p>
        </w:tc>
        <w:tc>
          <w:tcPr>
            <w:vAlign w:val="center"/>
          </w:tcPr>
          <w:p>
            <w:r>
              <w:t>5</w:t>
            </w:r>
          </w:p>
        </w:tc>
        <w:tc>
          <w:tcPr>
            <w:vMerge w:val="continue"/>
            <w:vAlign w:val="center"/>
          </w:tcPr>
          <w:p/>
        </w:tc>
        <w:tc>
          <w:tcPr>
            <w:vAlign w:val="center"/>
          </w:tcPr>
          <w:p>
            <w:r>
              <w:t>0.242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一年生蔓藤、低草花花圃或低茎野草地（高约0.25m，土壤深度&gt;0.3m）</w:t>
            </w:r>
          </w:p>
        </w:tc>
        <w:tc>
          <w:tcPr>
            <w:vAlign w:val="center"/>
          </w:tcPr>
          <w:p>
            <w:r>
              <w:t>0.6</w:t>
            </w:r>
          </w:p>
        </w:tc>
        <w:tc>
          <w:tcPr>
            <w:vAlign w:val="center"/>
          </w:tcPr>
          <w:p>
            <w:r>
              <w:t>0.34</w:t>
            </w:r>
          </w:p>
        </w:tc>
        <w:tc>
          <w:tcPr>
            <w:vAlign w:val="center"/>
          </w:tcPr>
          <w:p>
            <w:r>
              <w:t>20</w:t>
            </w:r>
          </w:p>
        </w:tc>
        <w:tc>
          <w:tcPr>
            <w:vMerge w:val="continue"/>
            <w:vAlign w:val="center"/>
          </w:tcPr>
          <w:p/>
        </w:tc>
        <w:tc>
          <w:tcPr>
            <w:vAlign w:val="center"/>
          </w:tcPr>
          <w:p>
            <w:r>
              <w:t>0.286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草花花圃、自然野草、草坪、水生植物</w:t>
            </w:r>
          </w:p>
        </w:tc>
        <w:tc>
          <w:tcPr>
            <w:vAlign w:val="center"/>
          </w:tcPr>
          <w:p>
            <w:r>
              <w:t>0.6</w:t>
            </w:r>
          </w:p>
        </w:tc>
        <w:tc>
          <w:tcPr>
            <w:vAlign w:val="center"/>
          </w:tcPr>
          <w:p>
            <w:r>
              <w:t>0.5</w:t>
            </w:r>
          </w:p>
        </w:tc>
        <w:tc>
          <w:tcPr>
            <w:vAlign w:val="center"/>
          </w:tcPr>
          <w:p>
            <w:r>
              <w:t>15</w:t>
            </w:r>
          </w:p>
        </w:tc>
        <w:tc>
          <w:tcPr>
            <w:vMerge w:val="continue"/>
            <w:vAlign w:val="center"/>
          </w:tcPr>
          <w:p/>
        </w:tc>
        <w:tc>
          <w:tcPr>
            <w:vAlign w:val="center"/>
          </w:tcPr>
          <w:p>
            <w:r>
              <w:t>0.315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5"/>
            <w:shd w:val="clear" w:color="auto" w:fill="E6E6E6"/>
            <w:vAlign w:val="center"/>
          </w:tcPr>
          <w:p>
            <w:r>
              <w:t>合计</w:t>
            </w:r>
          </w:p>
        </w:tc>
        <w:tc>
          <w:tcPr>
            <w:vAlign w:val="center"/>
          </w:tcPr>
          <w:p>
            <w:r>
              <w:t>5.700</w:t>
            </w:r>
          </w:p>
        </w:tc>
      </w:tr>
    </w:tbl>
    <w:p>
      <w:pPr>
        <w:pStyle w:val="3"/>
        <w:ind w:firstLine="420"/>
        <w:rPr>
          <w:lang w:val="en-US"/>
        </w:rPr>
      </w:pPr>
      <w:bookmarkStart w:id="112" w:name="碳汇明细表"/>
      <w:bookmarkEnd w:id="112"/>
    </w:p>
    <w:p>
      <w:pPr>
        <w:pStyle w:val="4"/>
      </w:pPr>
      <w:bookmarkStart w:id="113" w:name="_Toc3176"/>
      <w:r>
        <w:rPr>
          <w:rFonts w:hint="eastAsia"/>
        </w:rPr>
        <w:t>报废阶段 End of life stage</w:t>
      </w:r>
      <w:bookmarkEnd w:id="113"/>
      <w:r>
        <w:rPr>
          <w:rFonts w:hint="eastAsia"/>
        </w:rPr>
        <w:t xml:space="preserve"> </w:t>
      </w:r>
    </w:p>
    <w:p>
      <w:pPr>
        <w:pStyle w:val="5"/>
      </w:pPr>
      <w:bookmarkStart w:id="114" w:name="_Toc21323"/>
      <w:r>
        <w:rPr>
          <w:rFonts w:hint="eastAsia"/>
        </w:rPr>
        <w:t>建材回收阶段</w:t>
      </w:r>
      <w:bookmarkEnd w:id="114"/>
    </w:p>
    <w:p>
      <w:pPr>
        <w:pStyle w:val="3"/>
        <w:ind w:firstLine="420"/>
        <w:rPr>
          <w:lang w:val="en-US"/>
        </w:rPr>
      </w:pPr>
      <w:r>
        <w:rPr>
          <w:rFonts w:hint="eastAsia"/>
          <w:lang w:val="en-US"/>
        </w:rPr>
        <w:t>建材回收的碳排放量在建材生及运输阶段的计算中予以考虑，本项目中忽略该部分碳排量。</w:t>
      </w:r>
    </w:p>
    <w:p>
      <w:pPr>
        <w:pStyle w:val="5"/>
      </w:pPr>
      <w:bookmarkStart w:id="115" w:name="_Toc31303"/>
      <w:r>
        <w:t>建筑拆除阶段</w:t>
      </w:r>
      <w:bookmarkEnd w:id="115"/>
    </w:p>
    <w:p>
      <w:pPr>
        <w:pStyle w:val="3"/>
        <w:ind w:firstLine="420"/>
        <w:rPr>
          <w:lang w:val="en-US"/>
        </w:rPr>
      </w:pPr>
      <w:bookmarkStart w:id="116" w:name="建筑拆除碳排放"/>
      <w:bookmarkEnd w:id="116"/>
      <w:r>
        <w:rPr>
          <w:lang w:val="en-US"/>
        </w:rPr>
        <w:t>根据广东省《建筑碳排放计算导则（试行）》，建议粗略估算拆除阶段的碳排放，计算方法与建造阶段公式一致即可，公式如下：</w:t>
      </w:r>
    </w:p>
    <w:p>
      <w:pPr>
        <w:pStyle w:val="3"/>
        <w:ind w:firstLine="420"/>
        <w:rPr>
          <w:lang w:val="en-US"/>
        </w:rPr>
      </w:pPr>
      <w:r>
        <w:rPr>
          <w:lang w:val="en-US"/>
        </w:rPr>
        <w:t xml:space="preserve">Y = X + 1.99 </w:t>
      </w:r>
    </w:p>
    <w:p>
      <w:pPr>
        <w:pStyle w:val="3"/>
        <w:ind w:firstLine="420"/>
        <w:rPr>
          <w:lang w:val="en-US"/>
        </w:rPr>
      </w:pPr>
      <w:r>
        <w:rPr>
          <w:lang w:val="en-US"/>
        </w:rPr>
        <w:t>其中X 为地上层数，Y 为单位面积的碳排放量，单位为：kgCO2/㎡,</w:t>
      </w:r>
    </w:p>
    <w:p>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7320.73</w:t>
            </w:r>
          </w:p>
        </w:tc>
        <w:tc>
          <w:tcPr>
            <w:vAlign w:val="center"/>
          </w:tcPr>
          <w:p>
            <w:r>
              <w:t>3</w:t>
            </w:r>
          </w:p>
        </w:tc>
        <w:tc>
          <w:tcPr>
            <w:vAlign w:val="center"/>
          </w:tcPr>
          <w:p>
            <w:r>
              <w:t>4.99</w:t>
            </w:r>
          </w:p>
        </w:tc>
        <w:tc>
          <w:tcPr>
            <w:vAlign w:val="center"/>
          </w:tcPr>
          <w:p>
            <w:r>
              <w:t>36.530</w:t>
            </w:r>
          </w:p>
        </w:tc>
      </w:tr>
    </w:tbl>
    <w:p>
      <w:pPr>
        <w:pStyle w:val="3"/>
        <w:ind w:firstLine="420"/>
        <w:rPr>
          <w:lang w:val="en-US"/>
        </w:rPr>
      </w:pPr>
    </w:p>
    <w:p>
      <w:pPr>
        <w:pStyle w:val="4"/>
      </w:pPr>
      <w:bookmarkStart w:id="117" w:name="_Toc16852"/>
      <w:r>
        <w:rPr>
          <w:rFonts w:hint="eastAsia"/>
        </w:rPr>
        <w:t>结果汇总</w:t>
      </w:r>
      <w:r>
        <w:t>Results summary</w:t>
      </w:r>
      <w:bookmarkEnd w:id="117"/>
    </w:p>
    <w:p>
      <w:pPr>
        <w:pStyle w:val="5"/>
        <w:widowControl w:val="0"/>
        <w:jc w:val="both"/>
        <w:rPr>
          <w:color w:val="000000"/>
        </w:rPr>
      </w:pPr>
      <w:bookmarkStart w:id="118" w:name="_Toc103699719"/>
      <w:bookmarkStart w:id="119" w:name="_Toc26460"/>
      <w:r>
        <w:rPr>
          <w:color w:val="000000"/>
        </w:rPr>
        <w:t>单位面积指标</w:t>
      </w:r>
      <w:bookmarkEnd w:id="118"/>
      <w:bookmarkEnd w:id="11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年碳排放量(kgCO2/㎡·a)</w:t>
            </w:r>
          </w:p>
        </w:tc>
        <w:tc>
          <w:tcPr>
            <w:shd w:val="clear" w:color="auto" w:fill="E6E6E6"/>
            <w:vAlign w:val="center"/>
          </w:tcPr>
          <w:p>
            <w:pPr>
              <w:jc w:val="center"/>
            </w:pPr>
            <w:r>
              <w:t>碳排放量(kgCO2/㎡)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建筑材料生产</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建筑材料运输</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建筑建造</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建筑拆除</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建筑运行</w:t>
            </w:r>
          </w:p>
        </w:tc>
        <w:tc>
          <w:tcPr>
            <w:vAlign w:val="center"/>
          </w:tcPr>
          <w:p>
            <w:r>
              <w:t>171.97</w:t>
            </w:r>
          </w:p>
        </w:tc>
        <w:tc>
          <w:tcPr>
            <w:vAlign w:val="center"/>
          </w:tcPr>
          <w:p>
            <w:r>
              <w:t>12037.95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碳汇</w:t>
            </w:r>
          </w:p>
        </w:tc>
        <w:tc>
          <w:tcPr>
            <w:vAlign w:val="center"/>
          </w:tcPr>
          <w:p>
            <w:r>
              <w:t>-0.01</w:t>
            </w:r>
          </w:p>
        </w:tc>
        <w:tc>
          <w:tcPr>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171.96</w:t>
            </w:r>
          </w:p>
        </w:tc>
        <w:tc>
          <w:tcPr>
            <w:vAlign w:val="center"/>
          </w:tcPr>
          <w:p>
            <w:r>
              <w:t>12037.17</w:t>
            </w:r>
          </w:p>
        </w:tc>
      </w:tr>
    </w:tbl>
    <w:p>
      <w:pPr>
        <w:pStyle w:val="3"/>
        <w:ind w:firstLine="420"/>
      </w:pPr>
      <w:bookmarkStart w:id="120" w:name="全生命周期单位面积碳排表"/>
      <w:bookmarkEnd w:id="120"/>
    </w:p>
    <w:p>
      <w:pPr>
        <w:pStyle w:val="5"/>
        <w:widowControl w:val="0"/>
        <w:jc w:val="both"/>
        <w:rPr>
          <w:color w:val="000000"/>
        </w:rPr>
      </w:pPr>
      <w:bookmarkStart w:id="121" w:name="_Toc11563"/>
      <w:r>
        <w:rPr>
          <w:color w:val="000000"/>
        </w:rPr>
        <w:t>总碳排放量</w:t>
      </w:r>
      <w:bookmarkEnd w:id="12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年碳排放量(tCO2/a)</w:t>
            </w:r>
          </w:p>
        </w:tc>
        <w:tc>
          <w:tcPr>
            <w:shd w:val="clear" w:color="auto" w:fill="E6E6E6"/>
            <w:vAlign w:val="center"/>
          </w:tcPr>
          <w:p>
            <w:pPr>
              <w:jc w:val="center"/>
            </w:pPr>
            <w:r>
              <w:t>碳排放量(tCO2)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建筑材料生产</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建筑材料运输</w:t>
            </w:r>
          </w:p>
        </w:tc>
        <w:tc>
          <w:tcPr>
            <w:vAlign w:val="center"/>
          </w:tcPr>
          <w:p>
            <w:r>
              <w:t>0.000</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建筑建造</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建筑拆除</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建筑运行</w:t>
            </w:r>
          </w:p>
        </w:tc>
        <w:tc>
          <w:tcPr>
            <w:vAlign w:val="center"/>
          </w:tcPr>
          <w:p>
            <w:r>
              <w:t>1258.952</w:t>
            </w:r>
          </w:p>
        </w:tc>
        <w:tc>
          <w:tcPr>
            <w:vAlign w:val="center"/>
          </w:tcPr>
          <w:p>
            <w:r>
              <w:t>88126.619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碳汇</w:t>
            </w:r>
          </w:p>
        </w:tc>
        <w:tc>
          <w:tcPr>
            <w:vAlign w:val="center"/>
          </w:tcPr>
          <w:p>
            <w:r>
              <w:t>-0.081</w:t>
            </w:r>
          </w:p>
        </w:tc>
        <w:tc>
          <w:tcPr>
            <w:vAlign w:val="center"/>
          </w:tcPr>
          <w:p>
            <w:r>
              <w:t>-5.700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1258.871</w:t>
            </w:r>
          </w:p>
        </w:tc>
        <w:tc>
          <w:tcPr>
            <w:vAlign w:val="center"/>
          </w:tcPr>
          <w:p>
            <w:r>
              <w:t>88120.919</w:t>
            </w:r>
          </w:p>
        </w:tc>
      </w:tr>
    </w:tbl>
    <w:p>
      <w:pPr>
        <w:ind w:firstLine="420"/>
      </w:pPr>
      <w:bookmarkStart w:id="122" w:name="全生命周期碳排表"/>
      <w:bookmarkEnd w:id="122"/>
    </w:p>
    <w:p>
      <w:pPr>
        <w:pStyle w:val="2"/>
      </w:pPr>
      <w:bookmarkStart w:id="123" w:name="_Toc30650"/>
      <w:r>
        <w:rPr>
          <w:rFonts w:hint="eastAsia"/>
        </w:rPr>
        <w:t>总结和建议 Summary and</w:t>
      </w:r>
      <w:r>
        <w:t xml:space="preserve"> recommendations</w:t>
      </w:r>
      <w:bookmarkEnd w:id="123"/>
    </w:p>
    <w:p>
      <w:pPr>
        <w:pStyle w:val="4"/>
      </w:pPr>
      <w:bookmarkStart w:id="124" w:name="_Toc18053"/>
      <w:r>
        <w:rPr>
          <w:rFonts w:hint="eastAsia"/>
        </w:rPr>
        <w:t xml:space="preserve">分析结果的总结与解释 </w:t>
      </w:r>
      <w:r>
        <w:t>Summary and interpretation of the result</w:t>
      </w:r>
      <w:bookmarkEnd w:id="124"/>
    </w:p>
    <w:p>
      <w:pPr>
        <w:pStyle w:val="5"/>
        <w:numPr>
          <w:ilvl w:val="0"/>
          <w:numId w:val="6"/>
        </w:numPr>
      </w:pPr>
      <w:bookmarkStart w:id="125" w:name="_Toc1904"/>
      <w:r>
        <w:rPr>
          <w:rFonts w:hint="eastAsia"/>
        </w:rPr>
        <w:t>完整性说明</w:t>
      </w:r>
      <w:bookmarkEnd w:id="125"/>
    </w:p>
    <w:p>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pPr>
        <w:pStyle w:val="5"/>
        <w:numPr>
          <w:ilvl w:val="0"/>
          <w:numId w:val="6"/>
        </w:numPr>
      </w:pPr>
      <w:bookmarkStart w:id="126" w:name="_Toc21176"/>
      <w:r>
        <w:t>数据质量评估</w:t>
      </w:r>
      <w:bookmarkEnd w:id="126"/>
    </w:p>
    <w:p>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pPr>
        <w:pStyle w:val="3"/>
        <w:ind w:firstLine="420"/>
        <w:rPr>
          <w:lang w:val="en-US"/>
        </w:rPr>
      </w:pPr>
      <w:r>
        <w:rPr>
          <w:rFonts w:hint="eastAsia"/>
          <w:lang w:val="en-US"/>
        </w:rPr>
        <w:t>建筑建造、拆除阶段按比例或公式法进行的估算。</w:t>
      </w:r>
    </w:p>
    <w:p>
      <w:pPr>
        <w:pStyle w:val="4"/>
      </w:pPr>
      <w:bookmarkStart w:id="127" w:name="_Toc17652"/>
      <w:r>
        <w:rPr>
          <w:rFonts w:hint="eastAsia"/>
        </w:rPr>
        <w:t xml:space="preserve">结果应用 </w:t>
      </w:r>
      <w:r>
        <w:t>Application of the LCA analysis</w:t>
      </w:r>
      <w:bookmarkEnd w:id="127"/>
    </w:p>
    <w:p>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pPr>
        <w:pStyle w:val="4"/>
      </w:pPr>
      <w:bookmarkStart w:id="128" w:name="_Toc14198"/>
      <w:r>
        <w:rPr>
          <w:rFonts w:hint="eastAsia"/>
        </w:rPr>
        <w:t>改进建议</w:t>
      </w:r>
      <w:bookmarkEnd w:id="128"/>
    </w:p>
    <w:p>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pPr>
        <w:pStyle w:val="2"/>
      </w:pPr>
      <w:bookmarkStart w:id="129" w:name="_Toc29688"/>
      <w:r>
        <w:rPr>
          <w:rFonts w:hint="eastAsia"/>
        </w:rPr>
        <w:t>附录</w:t>
      </w:r>
      <w:bookmarkEnd w:id="129"/>
    </w:p>
    <w:p>
      <w:pPr>
        <w:pStyle w:val="4"/>
        <w:rPr>
          <w:rFonts w:hint="eastAsia"/>
          <w:lang w:val="en-US"/>
        </w:rPr>
      </w:pPr>
      <w:bookmarkStart w:id="130" w:name="_Toc29517"/>
      <w:r>
        <w:rPr>
          <w:rFonts w:hint="eastAsia"/>
          <w:lang w:val="en-US"/>
        </w:rPr>
        <w:t>围护结构概况</w:t>
      </w:r>
      <w:bookmarkEnd w:id="130"/>
    </w:p>
    <w:p/>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1162"/>
        <w:gridCol w:w="2722"/>
        <w:gridCol w:w="2299"/>
        <w:gridCol w:w="2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324" w:type="pct"/>
            <w:gridSpan w:val="2"/>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131" w:name="设计建筑别名"/>
            <w:r>
              <w:rPr>
                <w:rFonts w:hAnsi="宋体" w:eastAsia="宋体"/>
                <w:bCs/>
                <w:sz w:val="21"/>
                <w:szCs w:val="21"/>
                <w:lang w:eastAsia="zh-CN"/>
              </w:rPr>
              <w:t>设计建筑</w:t>
            </w:r>
            <w:bookmarkEnd w:id="1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tcBorders>
              <w:top w:val="single" w:color="auto" w:sz="6" w:space="0"/>
              <w:bottom w:val="single" w:color="auto" w:sz="6" w:space="0"/>
            </w:tcBorders>
            <w:vAlign w:val="center"/>
          </w:tcPr>
          <w:p>
            <w:pPr>
              <w:jc w:val="center"/>
              <w:rPr>
                <w:rFonts w:hint="eastAsia" w:eastAsia="宋体"/>
                <w:bCs/>
                <w:sz w:val="21"/>
                <w:szCs w:val="21"/>
                <w:lang w:eastAsia="zh-CN"/>
              </w:rPr>
            </w:pPr>
            <w:bookmarkStart w:id="132" w:name="体型系数"/>
            <w:r>
              <w:rPr>
                <w:rFonts w:hint="eastAsia" w:eastAsia="宋体"/>
                <w:kern w:val="0"/>
                <w:sz w:val="21"/>
                <w:szCs w:val="21"/>
                <w:lang w:eastAsia="zh-CN"/>
              </w:rPr>
              <w:t>0.14</w:t>
            </w:r>
            <w:bookmarkEnd w:id="1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pPr>
              <w:jc w:val="center"/>
              <w:rPr>
                <w:rFonts w:eastAsia="宋体"/>
                <w:bCs/>
                <w:sz w:val="21"/>
                <w:szCs w:val="21"/>
                <w:lang w:eastAsia="zh-CN"/>
              </w:rPr>
            </w:pPr>
            <w:bookmarkStart w:id="133" w:name="屋顶K"/>
            <w:r>
              <w:rPr>
                <w:rFonts w:hint="eastAsia" w:eastAsia="宋体"/>
                <w:bCs/>
                <w:sz w:val="21"/>
                <w:szCs w:val="21"/>
                <w:lang w:eastAsia="zh-CN"/>
              </w:rPr>
              <w:t>0.77</w:t>
            </w:r>
            <w:bookmarkEnd w:id="133"/>
          </w:p>
          <w:p>
            <w:pPr>
              <w:jc w:val="center"/>
              <w:rPr>
                <w:rFonts w:eastAsia="宋体"/>
                <w:bCs/>
                <w:sz w:val="21"/>
                <w:szCs w:val="21"/>
                <w:lang w:eastAsia="zh-CN"/>
              </w:rPr>
            </w:pPr>
            <w:bookmarkStart w:id="134" w:name="屋顶D"/>
            <w:r>
              <w:rPr>
                <w:rFonts w:eastAsia="宋体"/>
                <w:bCs/>
                <w:sz w:val="21"/>
                <w:szCs w:val="21"/>
                <w:lang w:eastAsia="zh-CN"/>
              </w:rPr>
              <w:t>3.69</w:t>
            </w:r>
            <w:bookmarkEnd w:id="1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pPr>
              <w:jc w:val="center"/>
              <w:rPr>
                <w:rFonts w:eastAsia="宋体"/>
                <w:bCs/>
                <w:sz w:val="21"/>
                <w:szCs w:val="21"/>
                <w:lang w:eastAsia="zh-CN"/>
              </w:rPr>
            </w:pPr>
            <w:bookmarkStart w:id="135" w:name="外墙K"/>
            <w:r>
              <w:rPr>
                <w:rFonts w:hint="eastAsia" w:eastAsia="宋体"/>
                <w:bCs/>
                <w:sz w:val="21"/>
                <w:szCs w:val="21"/>
                <w:lang w:eastAsia="zh-CN"/>
              </w:rPr>
              <w:t>1.47</w:t>
            </w:r>
            <w:bookmarkEnd w:id="135"/>
          </w:p>
          <w:p>
            <w:pPr>
              <w:jc w:val="center"/>
              <w:rPr>
                <w:rFonts w:eastAsia="宋体"/>
                <w:bCs/>
                <w:sz w:val="21"/>
                <w:szCs w:val="21"/>
                <w:lang w:eastAsia="zh-CN"/>
              </w:rPr>
            </w:pPr>
            <w:bookmarkStart w:id="136" w:name="外墙D"/>
            <w:r>
              <w:rPr>
                <w:rFonts w:hint="eastAsia" w:eastAsia="宋体"/>
                <w:bCs/>
                <w:sz w:val="21"/>
                <w:szCs w:val="21"/>
                <w:lang w:eastAsia="zh-CN"/>
              </w:rPr>
              <w:t>2.94</w:t>
            </w:r>
            <w:bookmarkEnd w:id="13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tcBorders>
              <w:top w:val="single" w:color="auto" w:sz="6" w:space="0"/>
              <w:bottom w:val="single" w:color="auto" w:sz="6" w:space="0"/>
            </w:tcBorders>
            <w:vAlign w:val="center"/>
          </w:tcPr>
          <w:p>
            <w:pPr>
              <w:jc w:val="center"/>
              <w:rPr>
                <w:rFonts w:eastAsia="宋体"/>
                <w:bCs/>
                <w:sz w:val="21"/>
                <w:szCs w:val="21"/>
                <w:lang w:eastAsia="zh-CN"/>
              </w:rPr>
            </w:pPr>
            <w:bookmarkStart w:id="137" w:name="挑空楼板K"/>
            <w:r>
              <w:rPr>
                <w:rFonts w:eastAsia="宋体"/>
                <w:bCs/>
                <w:sz w:val="21"/>
                <w:szCs w:val="21"/>
                <w:lang w:eastAsia="zh-CN"/>
              </w:rPr>
              <w:t>1.19</w:t>
            </w:r>
            <w:bookmarkEnd w:id="137"/>
          </w:p>
          <w:p>
            <w:pPr>
              <w:jc w:val="center"/>
              <w:rPr>
                <w:rFonts w:eastAsia="宋体"/>
                <w:bCs/>
                <w:sz w:val="21"/>
                <w:szCs w:val="21"/>
                <w:lang w:eastAsia="zh-CN"/>
              </w:rPr>
            </w:pPr>
            <w:bookmarkStart w:id="138" w:name="挑空楼板D"/>
            <w:r>
              <w:rPr>
                <w:rFonts w:eastAsia="宋体"/>
                <w:bCs/>
                <w:sz w:val="21"/>
                <w:szCs w:val="21"/>
                <w:lang w:eastAsia="zh-CN"/>
              </w:rPr>
              <w:t>2.15</w:t>
            </w:r>
            <w:bookmarkEnd w:id="13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tcBorders>
              <w:top w:val="single" w:color="auto" w:sz="6" w:space="0"/>
              <w:bottom w:val="single" w:color="auto" w:sz="6" w:space="0"/>
            </w:tcBorders>
            <w:vAlign w:val="center"/>
          </w:tcPr>
          <w:p>
            <w:pPr>
              <w:jc w:val="center"/>
              <w:rPr>
                <w:rFonts w:eastAsia="宋体"/>
                <w:bCs/>
                <w:sz w:val="21"/>
                <w:szCs w:val="21"/>
                <w:lang w:eastAsia="zh-CN"/>
              </w:rPr>
            </w:pPr>
            <w:bookmarkStart w:id="139" w:name="天窗K"/>
            <w:r>
              <w:rPr>
                <w:rFonts w:eastAsia="宋体"/>
                <w:bCs/>
                <w:sz w:val="21"/>
                <w:szCs w:val="21"/>
                <w:lang w:eastAsia="zh-CN"/>
              </w:rPr>
              <w:t>－</w:t>
            </w:r>
            <w:bookmarkEnd w:id="139"/>
          </w:p>
          <w:p>
            <w:pPr>
              <w:jc w:val="center"/>
              <w:rPr>
                <w:rFonts w:eastAsia="宋体"/>
                <w:bCs/>
                <w:sz w:val="21"/>
                <w:szCs w:val="21"/>
                <w:lang w:eastAsia="zh-CN"/>
              </w:rPr>
            </w:pPr>
            <w:bookmarkStart w:id="140" w:name="天窗SHGC"/>
            <w:r>
              <w:rPr>
                <w:rFonts w:eastAsia="宋体"/>
                <w:bCs/>
                <w:sz w:val="21"/>
                <w:szCs w:val="21"/>
                <w:lang w:eastAsia="zh-CN"/>
              </w:rPr>
              <w:t>－</w:t>
            </w:r>
            <w:bookmarkEnd w:id="14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5"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116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116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4"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bookmarkStart w:id="141" w:name="多立面－计算条件表－13－2－朝向立面窗墙比K参照"/>
            <w:r>
              <w:rPr>
                <w:rFonts w:hint="eastAsia" w:hAnsi="宋体" w:eastAsia="宋体"/>
                <w:bCs/>
                <w:sz w:val="21"/>
                <w:szCs w:val="21"/>
                <w:lang w:eastAsia="zh-CN"/>
              </w:rPr>
              <w:t>南向</w:t>
            </w:r>
            <w:bookmarkEnd w:id="141"/>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116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0.26</w:t>
            </w:r>
          </w:p>
        </w:tc>
        <w:tc>
          <w:tcPr>
            <w:tcW w:w="116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116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0.23</w:t>
            </w:r>
          </w:p>
        </w:tc>
        <w:tc>
          <w:tcPr>
            <w:tcW w:w="116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116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0.10</w:t>
            </w:r>
          </w:p>
        </w:tc>
        <w:tc>
          <w:tcPr>
            <w:tcW w:w="116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587"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5"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116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0.26</w:t>
            </w:r>
          </w:p>
        </w:tc>
        <w:tc>
          <w:tcPr>
            <w:tcW w:w="116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r>
    </w:tbl>
    <w:p>
      <w:pPr>
        <w:rPr>
          <w:rFonts w:hint="eastAsia"/>
          <w:lang w:val="en-US"/>
        </w:rPr>
      </w:pPr>
    </w:p>
    <w:p>
      <w:pPr>
        <w:pStyle w:val="4"/>
        <w:rPr>
          <w:rFonts w:hint="eastAsia"/>
          <w:lang w:val="en-US"/>
        </w:rPr>
      </w:pPr>
      <w:bookmarkStart w:id="142" w:name="_Toc17393"/>
      <w:r>
        <w:rPr>
          <w:rFonts w:hint="eastAsia"/>
          <w:lang w:val="en-US"/>
        </w:rPr>
        <w:t>房间类型</w:t>
      </w:r>
      <w:bookmarkEnd w:id="142"/>
    </w:p>
    <w:p>
      <w:pPr>
        <w:pStyle w:val="5"/>
        <w:rPr>
          <w:rFonts w:hint="eastAsia"/>
          <w:lang w:val="en-US"/>
        </w:rPr>
      </w:pPr>
      <w:bookmarkStart w:id="143" w:name="_Toc24204"/>
      <w:r>
        <w:rPr>
          <w:rFonts w:hint="eastAsia"/>
          <w:lang w:val="en-US"/>
        </w:rPr>
        <w:t>房间参数表</w:t>
      </w:r>
      <w:bookmarkEnd w:id="143"/>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休息室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3.3(㎡/人)</w:t>
            </w:r>
          </w:p>
        </w:tc>
        <w:tc>
          <w:tcPr>
            <w:vAlign w:val="center"/>
          </w:tcPr>
          <w:p>
            <w:pPr>
              <w:jc w:val="center"/>
            </w:pPr>
            <w:r>
              <w:t>5(W/㎡)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1(㎡/人)</w:t>
            </w:r>
          </w:p>
        </w:tc>
        <w:tc>
          <w:tcPr>
            <w:vAlign w:val="center"/>
          </w:tcPr>
          <w:p>
            <w:pPr>
              <w:jc w:val="center"/>
            </w:pPr>
            <w:r>
              <w:t>8(W/㎡)</w:t>
            </w:r>
          </w:p>
        </w:tc>
        <w:tc>
          <w:tcPr>
            <w:vAlign w:val="center"/>
          </w:tcPr>
          <w:p>
            <w:pPr>
              <w:jc w:val="center"/>
            </w:pPr>
            <w:r>
              <w:t>13(W/㎡)</w:t>
            </w:r>
          </w:p>
        </w:tc>
      </w:tr>
    </w:tbl>
    <w:p>
      <w:pPr>
        <w:pStyle w:val="5"/>
        <w:rPr>
          <w:rFonts w:hint="eastAsia"/>
          <w:lang w:val="en-US"/>
        </w:rPr>
      </w:pPr>
      <w:bookmarkStart w:id="144" w:name="_Toc16345"/>
      <w:r>
        <w:rPr>
          <w:rFonts w:hint="eastAsia"/>
          <w:lang w:val="en-US"/>
        </w:rPr>
        <w:t>作息时间表</w:t>
      </w:r>
      <w:bookmarkEnd w:id="144"/>
    </w:p>
    <w:p>
      <w:pPr>
        <w:rPr>
          <w:rFonts w:hint="eastAsia"/>
          <w:lang w:val="en-US"/>
        </w:rPr>
      </w:pPr>
      <w:r>
        <w:rPr>
          <w:rFonts w:hint="eastAsia"/>
          <w:lang w:val="en-US"/>
        </w:rPr>
        <w:t>详见最后的时间表</w:t>
      </w:r>
    </w:p>
    <w:p>
      <w:pPr>
        <w:pStyle w:val="4"/>
        <w:rPr>
          <w:rFonts w:hint="eastAsia"/>
          <w:lang w:val="en-US"/>
        </w:rPr>
      </w:pPr>
      <w:bookmarkStart w:id="145" w:name="_Toc17542"/>
      <w:r>
        <w:rPr>
          <w:rFonts w:hint="eastAsia"/>
          <w:lang w:val="en-US"/>
        </w:rPr>
        <w:t>暖通空调系统</w:t>
      </w:r>
      <w:bookmarkEnd w:id="145"/>
    </w:p>
    <w:p>
      <w:pPr>
        <w:pStyle w:val="5"/>
        <w:rPr>
          <w:rFonts w:hint="eastAsia"/>
          <w:lang w:val="en-US"/>
        </w:rPr>
      </w:pPr>
      <w:bookmarkStart w:id="146" w:name="_Toc18673"/>
      <w:r>
        <w:rPr>
          <w:rFonts w:hint="eastAsia"/>
          <w:lang w:val="en-US"/>
        </w:rPr>
        <w:t>系统类型</w:t>
      </w:r>
      <w:bookmarkEnd w:id="146"/>
    </w:p>
    <w:p>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制冷</w:t>
            </w:r>
            <w:r>
              <w:br w:type="textWrapping"/>
            </w:r>
            <w:r>
              <w:t>SEER</w:t>
            </w:r>
          </w:p>
        </w:tc>
        <w:tc>
          <w:tcPr>
            <w:shd w:val="clear" w:color="auto" w:fill="E6E6E6"/>
            <w:vAlign w:val="center"/>
          </w:tcPr>
          <w:p>
            <w:pPr>
              <w:jc w:val="center"/>
            </w:pPr>
            <w:r>
              <w:t>制热</w:t>
            </w:r>
            <w:r>
              <w:br w:type="textWrapping"/>
            </w:r>
            <w:r>
              <w:t>HSPF</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w:t>
            </w:r>
          </w:p>
        </w:tc>
        <w:tc>
          <w:tcPr>
            <w:vAlign w:val="center"/>
          </w:tcPr>
          <w:p>
            <w:r>
              <w:t>双管制风机盘管</w:t>
            </w:r>
          </w:p>
        </w:tc>
        <w:tc>
          <w:tcPr>
            <w:vAlign w:val="center"/>
          </w:tcPr>
          <w:p>
            <w:r>
              <w:t>－</w:t>
            </w:r>
          </w:p>
        </w:tc>
        <w:tc>
          <w:tcPr>
            <w:vAlign w:val="center"/>
          </w:tcPr>
          <w:p>
            <w:r>
              <w:t>－</w:t>
            </w:r>
          </w:p>
        </w:tc>
        <w:tc>
          <w:tcPr>
            <w:vAlign w:val="center"/>
          </w:tcPr>
          <w:p>
            <w:r>
              <w:t>6931.47</w:t>
            </w:r>
          </w:p>
        </w:tc>
        <w:tc>
          <w:tcPr>
            <w:vAlign w:val="center"/>
          </w:tcPr>
          <w:p>
            <w:r>
              <w:t>所有房间</w:t>
            </w:r>
          </w:p>
        </w:tc>
      </w:tr>
    </w:tbl>
    <w:p>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w:t>
            </w:r>
          </w:p>
        </w:tc>
        <w:tc>
          <w:tcPr>
            <w:vAlign w:val="center"/>
          </w:tcPr>
          <w:p>
            <w:r>
              <w:t>显热回收</w:t>
            </w:r>
          </w:p>
        </w:tc>
        <w:tc>
          <w:tcPr>
            <w:vAlign w:val="center"/>
          </w:tcPr>
          <w:p>
            <w:r>
              <w:t>0.60</w:t>
            </w:r>
          </w:p>
        </w:tc>
        <w:tc>
          <w:tcPr>
            <w:vAlign w:val="center"/>
          </w:tcPr>
          <w:p>
            <w:r>
              <w:t>5℃</w:t>
            </w:r>
          </w:p>
        </w:tc>
        <w:tc>
          <w:tcPr>
            <w:vAlign w:val="center"/>
          </w:tcPr>
          <w:p>
            <w:r>
              <w:t>0.65</w:t>
            </w:r>
          </w:p>
        </w:tc>
        <w:tc>
          <w:tcPr>
            <w:vAlign w:val="center"/>
          </w:tcPr>
          <w:p>
            <w:r>
              <w:t>5(℃)</w:t>
            </w:r>
          </w:p>
        </w:tc>
      </w:tr>
    </w:tbl>
    <w:p>
      <w:pPr>
        <w:pStyle w:val="5"/>
        <w:rPr>
          <w:rFonts w:hint="eastAsia"/>
          <w:lang w:val="en-US"/>
        </w:rPr>
      </w:pPr>
      <w:bookmarkStart w:id="147" w:name="_Toc8143"/>
      <w:r>
        <w:rPr>
          <w:rFonts w:hint="eastAsia"/>
          <w:lang w:val="en-US"/>
        </w:rPr>
        <w:t>供暖系统</w:t>
      </w:r>
      <w:bookmarkEnd w:id="147"/>
    </w:p>
    <w:p>
      <w:pPr>
        <w:pStyle w:val="6"/>
        <w:rPr>
          <w:rFonts w:hint="eastAsia"/>
          <w:lang w:val="en-US"/>
        </w:rPr>
      </w:pPr>
      <w:r>
        <w:rPr>
          <w:rFonts w:hint="eastAsia"/>
          <w:lang w:val="en-US"/>
        </w:rPr>
        <w:t>默认热源</w:t>
      </w:r>
    </w:p>
    <w:p>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FFFFFF"/>
            <w:vAlign w:val="center"/>
          </w:tcPr>
          <w:p>
            <w:r>
              <w:t>Sys</w:t>
            </w:r>
          </w:p>
        </w:tc>
      </w:tr>
    </w:tbl>
    <w:p>
      <w:pPr>
        <w:pStyle w:val="7"/>
        <w:rPr>
          <w:rFonts w:hint="eastAsia"/>
          <w:lang w:val="en-US"/>
        </w:rPr>
      </w:pPr>
      <w:r>
        <w:rPr>
          <w:rFonts w:hint="eastAsia"/>
          <w:lang w:val="en-US"/>
        </w:rPr>
        <w:t>热泵系统</w:t>
      </w:r>
    </w:p>
    <w:p>
      <w:pPr>
        <w:pStyle w:val="8"/>
        <w:rPr>
          <w:rFonts w:hint="eastAsia"/>
          <w:lang w:val="en-US"/>
        </w:rPr>
      </w:pPr>
      <w:r>
        <w:rPr>
          <w:rFonts w:hint="eastAsia"/>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额定耗电量(kW)</w:t>
            </w:r>
          </w:p>
        </w:tc>
        <w:tc>
          <w:tcPr>
            <w:shd w:val="clear" w:color="auto" w:fill="E6E6E6"/>
            <w:vAlign w:val="center"/>
          </w:tcPr>
          <w:p>
            <w:pPr>
              <w:jc w:val="center"/>
            </w:pPr>
            <w:r>
              <w:t>额定制热量(kW)</w:t>
            </w:r>
          </w:p>
        </w:tc>
        <w:tc>
          <w:tcPr>
            <w:shd w:val="clear" w:color="auto" w:fill="E6E6E6"/>
            <w:vAlign w:val="center"/>
          </w:tcPr>
          <w:p>
            <w:pPr>
              <w:jc w:val="center"/>
            </w:pPr>
            <w:r>
              <w:t>额定性能系数 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热泵机组</w:t>
            </w:r>
          </w:p>
        </w:tc>
        <w:tc>
          <w:tcPr>
            <w:vAlign w:val="center"/>
          </w:tcPr>
          <w:p>
            <w:r>
              <w:t>地源热泵</w:t>
            </w:r>
          </w:p>
        </w:tc>
        <w:tc>
          <w:tcPr>
            <w:vAlign w:val="center"/>
          </w:tcPr>
          <w:p>
            <w:r>
              <w:t>125</w:t>
            </w:r>
          </w:p>
        </w:tc>
        <w:tc>
          <w:tcPr>
            <w:vAlign w:val="center"/>
          </w:tcPr>
          <w:p>
            <w:r>
              <w:t>500</w:t>
            </w:r>
          </w:p>
        </w:tc>
        <w:tc>
          <w:tcPr>
            <w:vAlign w:val="center"/>
          </w:tcPr>
          <w:p>
            <w:r>
              <w:t>4.00</w:t>
            </w:r>
          </w:p>
        </w:tc>
        <w:tc>
          <w:tcPr>
            <w:vAlign w:val="center"/>
          </w:tcPr>
          <w:p>
            <w:r>
              <w:t>1</w:t>
            </w:r>
          </w:p>
        </w:tc>
      </w:tr>
    </w:tbl>
    <w:p>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变频</w:t>
            </w:r>
          </w:p>
        </w:tc>
        <w:tc>
          <w:tcPr>
            <w:vAlign w:val="center"/>
          </w:tcPr>
          <w:p>
            <w:r>
              <w:t>1000</w:t>
            </w:r>
          </w:p>
        </w:tc>
        <w:tc>
          <w:tcPr>
            <w:vAlign w:val="center"/>
          </w:tcPr>
          <w:p>
            <w:r>
              <w:t>20</w:t>
            </w:r>
          </w:p>
        </w:tc>
        <w:tc>
          <w:tcPr>
            <w:vAlign w:val="center"/>
          </w:tcPr>
          <w:p>
            <w:r>
              <w:t>80</w:t>
            </w:r>
          </w:p>
        </w:tc>
        <w:tc>
          <w:tcPr>
            <w:vAlign w:val="center"/>
          </w:tcPr>
          <w:p>
            <w:r>
              <w:t>78.3</w:t>
            </w:r>
          </w:p>
        </w:tc>
        <w:tc>
          <w:tcPr>
            <w:vAlign w:val="center"/>
          </w:tcPr>
          <w:p>
            <w:r>
              <w:t>2</w:t>
            </w:r>
          </w:p>
        </w:tc>
      </w:tr>
    </w:tbl>
    <w:p>
      <w:pPr>
        <w:pStyle w:val="8"/>
        <w:rPr>
          <w:rFonts w:hint="eastAsia"/>
          <w:lang w:val="en-US"/>
        </w:rPr>
      </w:pPr>
      <w:r>
        <w:rPr>
          <w:rFonts w:hint="eastAsia"/>
          <w:lang w:val="en-US"/>
        </w:rPr>
        <w:t>运行工况</w:t>
      </w:r>
    </w:p>
    <w:tbl>
      <w:tblPr>
        <w:tblStyle w:val="19"/>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39"/>
        <w:gridCol w:w="1556"/>
        <w:gridCol w:w="1415"/>
        <w:gridCol w:w="1556"/>
        <w:gridCol w:w="1499"/>
        <w:gridCol w:w="1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负载率(%)</w:t>
            </w:r>
          </w:p>
        </w:tc>
        <w:tc>
          <w:tcPr>
            <w:shd w:val="clear" w:color="auto" w:fill="E6E6E6"/>
            <w:vAlign w:val="center"/>
          </w:tcPr>
          <w:p>
            <w:pPr>
              <w:jc w:val="center"/>
            </w:pPr>
            <w:r>
              <w:t>机组制热量(kW)</w:t>
            </w:r>
          </w:p>
        </w:tc>
        <w:tc>
          <w:tcPr>
            <w:shd w:val="clear" w:color="auto" w:fill="E6E6E6"/>
            <w:vAlign w:val="center"/>
          </w:tcPr>
          <w:p>
            <w:pPr>
              <w:jc w:val="center"/>
            </w:pPr>
            <w:r>
              <w:t>机组功率(kW)</w:t>
            </w:r>
          </w:p>
        </w:tc>
        <w:tc>
          <w:tcPr>
            <w:shd w:val="clear" w:color="auto" w:fill="E6E6E6"/>
            <w:vAlign w:val="center"/>
          </w:tcPr>
          <w:p>
            <w:pPr>
              <w:jc w:val="center"/>
            </w:pPr>
            <w:r>
              <w:t>性能系数(COP)</w:t>
            </w:r>
          </w:p>
        </w:tc>
        <w:tc>
          <w:tcPr>
            <w:shd w:val="clear" w:color="auto" w:fill="E6E6E6"/>
            <w:vAlign w:val="center"/>
          </w:tcPr>
          <w:p>
            <w:pPr>
              <w:jc w:val="center"/>
            </w:pPr>
            <w:r>
              <w:t>供暖水泵功率(kW)</w:t>
            </w:r>
          </w:p>
        </w:tc>
        <w:tc>
          <w:tcPr>
            <w:shd w:val="clear" w:color="auto" w:fill="E6E6E6"/>
            <w:vAlign w:val="center"/>
          </w:tcPr>
          <w:p>
            <w:pPr>
              <w:jc w:val="center"/>
            </w:pPr>
            <w:r>
              <w:t>热源侧水泵功率(kW)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w:t>
            </w:r>
          </w:p>
        </w:tc>
        <w:tc>
          <w:tcPr>
            <w:vAlign w:val="center"/>
          </w:tcPr>
          <w:p>
            <w:r>
              <w:t>100</w:t>
            </w:r>
          </w:p>
        </w:tc>
        <w:tc>
          <w:tcPr>
            <w:vAlign w:val="center"/>
          </w:tcPr>
          <w:p>
            <w:r>
              <w:t>25</w:t>
            </w:r>
          </w:p>
        </w:tc>
        <w:tc>
          <w:tcPr>
            <w:vAlign w:val="center"/>
          </w:tcPr>
          <w:p>
            <w:r>
              <w:t>4.00</w:t>
            </w:r>
          </w:p>
        </w:tc>
        <w:tc>
          <w:tcPr>
            <w:vAlign w:val="center"/>
          </w:tcPr>
          <w:p>
            <w:r>
              <w:t>37.6</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40</w:t>
            </w:r>
          </w:p>
        </w:tc>
        <w:tc>
          <w:tcPr>
            <w:vAlign w:val="center"/>
          </w:tcPr>
          <w:p>
            <w:r>
              <w:t>200</w:t>
            </w:r>
          </w:p>
        </w:tc>
        <w:tc>
          <w:tcPr>
            <w:vAlign w:val="center"/>
          </w:tcPr>
          <w:p>
            <w:r>
              <w:t>50</w:t>
            </w:r>
          </w:p>
        </w:tc>
        <w:tc>
          <w:tcPr>
            <w:vAlign w:val="center"/>
          </w:tcPr>
          <w:p>
            <w:r>
              <w:t>4.00</w:t>
            </w:r>
          </w:p>
        </w:tc>
        <w:tc>
          <w:tcPr>
            <w:vAlign w:val="center"/>
          </w:tcPr>
          <w:p>
            <w:r>
              <w:t>37.6</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60</w:t>
            </w:r>
          </w:p>
        </w:tc>
        <w:tc>
          <w:tcPr>
            <w:vAlign w:val="center"/>
          </w:tcPr>
          <w:p>
            <w:r>
              <w:t>300</w:t>
            </w:r>
          </w:p>
        </w:tc>
        <w:tc>
          <w:tcPr>
            <w:vAlign w:val="center"/>
          </w:tcPr>
          <w:p>
            <w:r>
              <w:t>75</w:t>
            </w:r>
          </w:p>
        </w:tc>
        <w:tc>
          <w:tcPr>
            <w:vAlign w:val="center"/>
          </w:tcPr>
          <w:p>
            <w:r>
              <w:t>4.00</w:t>
            </w:r>
          </w:p>
        </w:tc>
        <w:tc>
          <w:tcPr>
            <w:vAlign w:val="center"/>
          </w:tcPr>
          <w:p>
            <w:r>
              <w:t>37.6</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w:t>
            </w:r>
          </w:p>
        </w:tc>
        <w:tc>
          <w:tcPr>
            <w:vAlign w:val="center"/>
          </w:tcPr>
          <w:p>
            <w:r>
              <w:t>400</w:t>
            </w:r>
          </w:p>
        </w:tc>
        <w:tc>
          <w:tcPr>
            <w:vAlign w:val="center"/>
          </w:tcPr>
          <w:p>
            <w:r>
              <w:t>100</w:t>
            </w:r>
          </w:p>
        </w:tc>
        <w:tc>
          <w:tcPr>
            <w:vAlign w:val="center"/>
          </w:tcPr>
          <w:p>
            <w:r>
              <w:t>4.00</w:t>
            </w:r>
          </w:p>
        </w:tc>
        <w:tc>
          <w:tcPr>
            <w:vAlign w:val="center"/>
          </w:tcPr>
          <w:p>
            <w:r>
              <w:t>37.6</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500</w:t>
            </w:r>
          </w:p>
        </w:tc>
        <w:tc>
          <w:tcPr>
            <w:vAlign w:val="center"/>
          </w:tcPr>
          <w:p>
            <w:r>
              <w:t>125</w:t>
            </w:r>
          </w:p>
        </w:tc>
        <w:tc>
          <w:tcPr>
            <w:vAlign w:val="center"/>
          </w:tcPr>
          <w:p>
            <w:r>
              <w:t>4.00</w:t>
            </w:r>
          </w:p>
        </w:tc>
        <w:tc>
          <w:tcPr>
            <w:vAlign w:val="center"/>
          </w:tcPr>
          <w:p>
            <w:r>
              <w:t>37.6</w:t>
            </w:r>
          </w:p>
        </w:tc>
        <w:tc>
          <w:tcPr>
            <w:vAlign w:val="center"/>
          </w:tcPr>
          <w:p>
            <w:r>
              <w:t>8</w:t>
            </w:r>
          </w:p>
        </w:tc>
      </w:tr>
    </w:tbl>
    <w:p>
      <w:pPr>
        <w:pStyle w:val="8"/>
        <w:rPr>
          <w:rFonts w:hint="eastAsia"/>
          <w:lang w:val="en-US"/>
        </w:rPr>
      </w:pPr>
      <w:r>
        <w:rPr>
          <w:rFonts w:hint="eastAsia"/>
          <w:lang w:val="en-US"/>
        </w:rPr>
        <w:t>制热能耗</w:t>
      </w:r>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415"/>
        <w:gridCol w:w="1273"/>
        <w:gridCol w:w="1415"/>
        <w:gridCol w:w="1415"/>
        <w:gridCol w:w="1273"/>
        <w:gridCol w:w="13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平均性能系数</w:t>
            </w:r>
            <w:r>
              <w:br w:type="textWrapping"/>
            </w:r>
            <w:r>
              <w:t>(COP)</w:t>
            </w:r>
          </w:p>
        </w:tc>
        <w:tc>
          <w:tcPr>
            <w:shd w:val="clear" w:color="auto" w:fill="E6E6E6"/>
            <w:vAlign w:val="center"/>
          </w:tcPr>
          <w:p>
            <w:pPr>
              <w:jc w:val="center"/>
            </w:pPr>
            <w:r>
              <w:t>热泵机组</w:t>
            </w:r>
            <w:r>
              <w:br w:type="textWrapping"/>
            </w:r>
            <w:r>
              <w:t>(kWh)</w:t>
            </w:r>
          </w:p>
        </w:tc>
        <w:tc>
          <w:tcPr>
            <w:shd w:val="clear" w:color="auto" w:fill="E6E6E6"/>
            <w:vAlign w:val="center"/>
          </w:tcPr>
          <w:p>
            <w:pPr>
              <w:jc w:val="center"/>
            </w:pPr>
            <w:r>
              <w:t>供暖水泵</w:t>
            </w:r>
            <w:r>
              <w:br w:type="textWrapping"/>
            </w:r>
            <w:r>
              <w:t>(kWh)</w:t>
            </w:r>
          </w:p>
        </w:tc>
        <w:tc>
          <w:tcPr>
            <w:shd w:val="clear" w:color="auto" w:fill="E6E6E6"/>
            <w:vAlign w:val="center"/>
          </w:tcPr>
          <w:p>
            <w:pPr>
              <w:jc w:val="center"/>
            </w:pPr>
            <w:r>
              <w:t>热源侧水泵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0~20</w:t>
            </w:r>
          </w:p>
        </w:tc>
        <w:tc>
          <w:tcPr>
            <w:vAlign w:val="center"/>
          </w:tcPr>
          <w:p>
            <w:r>
              <w:t>6233</w:t>
            </w:r>
          </w:p>
        </w:tc>
        <w:tc>
          <w:tcPr>
            <w:vAlign w:val="center"/>
          </w:tcPr>
          <w:p>
            <w:r>
              <w:t>147</w:t>
            </w:r>
          </w:p>
        </w:tc>
        <w:tc>
          <w:tcPr>
            <w:vAlign w:val="center"/>
          </w:tcPr>
          <w:p>
            <w:r>
              <w:t>4.00</w:t>
            </w:r>
          </w:p>
        </w:tc>
        <w:tc>
          <w:tcPr>
            <w:vAlign w:val="center"/>
          </w:tcPr>
          <w:p>
            <w:r>
              <w:t>1558</w:t>
            </w:r>
          </w:p>
        </w:tc>
        <w:tc>
          <w:tcPr>
            <w:vAlign w:val="center"/>
          </w:tcPr>
          <w:p>
            <w:r>
              <w:t>7097</w:t>
            </w:r>
          </w:p>
        </w:tc>
        <w:tc>
          <w:tcPr>
            <w:vAlign w:val="center"/>
          </w:tcPr>
          <w:p>
            <w:r>
              <w:t>1176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20~40</w:t>
            </w:r>
          </w:p>
        </w:tc>
        <w:tc>
          <w:tcPr>
            <w:vAlign w:val="center"/>
          </w:tcPr>
          <w:p>
            <w:r>
              <w:t>36403</w:t>
            </w:r>
          </w:p>
        </w:tc>
        <w:tc>
          <w:tcPr>
            <w:vAlign w:val="center"/>
          </w:tcPr>
          <w:p>
            <w:r>
              <w:t>236</w:t>
            </w:r>
          </w:p>
        </w:tc>
        <w:tc>
          <w:tcPr>
            <w:vAlign w:val="center"/>
          </w:tcPr>
          <w:p>
            <w:r>
              <w:t>4.00</w:t>
            </w:r>
          </w:p>
        </w:tc>
        <w:tc>
          <w:tcPr>
            <w:vAlign w:val="center"/>
          </w:tcPr>
          <w:p>
            <w:r>
              <w:t>9101</w:t>
            </w:r>
          </w:p>
        </w:tc>
        <w:tc>
          <w:tcPr>
            <w:vAlign w:val="center"/>
          </w:tcPr>
          <w:p>
            <w:r>
              <w:t>8986</w:t>
            </w:r>
          </w:p>
        </w:tc>
        <w:tc>
          <w:tcPr>
            <w:vAlign w:val="center"/>
          </w:tcPr>
          <w:p>
            <w:r>
              <w:t>1888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40~60</w:t>
            </w:r>
          </w:p>
        </w:tc>
        <w:tc>
          <w:tcPr>
            <w:vAlign w:val="center"/>
          </w:tcPr>
          <w:p>
            <w:r>
              <w:t>59613</w:t>
            </w:r>
          </w:p>
        </w:tc>
        <w:tc>
          <w:tcPr>
            <w:vAlign w:val="center"/>
          </w:tcPr>
          <w:p>
            <w:r>
              <w:t>234</w:t>
            </w:r>
          </w:p>
        </w:tc>
        <w:tc>
          <w:tcPr>
            <w:vAlign w:val="center"/>
          </w:tcPr>
          <w:p>
            <w:r>
              <w:t>4.00</w:t>
            </w:r>
          </w:p>
        </w:tc>
        <w:tc>
          <w:tcPr>
            <w:vAlign w:val="center"/>
          </w:tcPr>
          <w:p>
            <w:r>
              <w:t>14903</w:t>
            </w:r>
          </w:p>
        </w:tc>
        <w:tc>
          <w:tcPr>
            <w:vAlign w:val="center"/>
          </w:tcPr>
          <w:p>
            <w:r>
              <w:t>9174</w:t>
            </w:r>
          </w:p>
        </w:tc>
        <w:tc>
          <w:tcPr>
            <w:vAlign w:val="center"/>
          </w:tcPr>
          <w:p>
            <w:r>
              <w:t>1872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60~80</w:t>
            </w:r>
          </w:p>
        </w:tc>
        <w:tc>
          <w:tcPr>
            <w:vAlign w:val="center"/>
          </w:tcPr>
          <w:p>
            <w:r>
              <w:t>108455</w:t>
            </w:r>
          </w:p>
        </w:tc>
        <w:tc>
          <w:tcPr>
            <w:vAlign w:val="center"/>
          </w:tcPr>
          <w:p>
            <w:r>
              <w:t>312</w:t>
            </w:r>
          </w:p>
        </w:tc>
        <w:tc>
          <w:tcPr>
            <w:vAlign w:val="center"/>
          </w:tcPr>
          <w:p>
            <w:r>
              <w:t>4.00</w:t>
            </w:r>
          </w:p>
        </w:tc>
        <w:tc>
          <w:tcPr>
            <w:vAlign w:val="center"/>
          </w:tcPr>
          <w:p>
            <w:r>
              <w:t>27114</w:t>
            </w:r>
          </w:p>
        </w:tc>
        <w:tc>
          <w:tcPr>
            <w:vAlign w:val="center"/>
          </w:tcPr>
          <w:p>
            <w:r>
              <w:t>11919</w:t>
            </w:r>
          </w:p>
        </w:tc>
        <w:tc>
          <w:tcPr>
            <w:vAlign w:val="center"/>
          </w:tcPr>
          <w:p>
            <w:r>
              <w:t>2496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80~100</w:t>
            </w:r>
          </w:p>
        </w:tc>
        <w:tc>
          <w:tcPr>
            <w:vAlign w:val="center"/>
          </w:tcPr>
          <w:p>
            <w:r>
              <w:t>140119</w:t>
            </w:r>
          </w:p>
        </w:tc>
        <w:tc>
          <w:tcPr>
            <w:vAlign w:val="center"/>
          </w:tcPr>
          <w:p>
            <w:r>
              <w:t>313</w:t>
            </w:r>
          </w:p>
        </w:tc>
        <w:tc>
          <w:tcPr>
            <w:vAlign w:val="center"/>
          </w:tcPr>
          <w:p>
            <w:r>
              <w:t>4.00</w:t>
            </w:r>
          </w:p>
        </w:tc>
        <w:tc>
          <w:tcPr>
            <w:vAlign w:val="center"/>
          </w:tcPr>
          <w:p>
            <w:r>
              <w:t>35030</w:t>
            </w:r>
          </w:p>
        </w:tc>
        <w:tc>
          <w:tcPr>
            <w:vAlign w:val="center"/>
          </w:tcPr>
          <w:p>
            <w:r>
              <w:t>11318</w:t>
            </w:r>
          </w:p>
        </w:tc>
        <w:tc>
          <w:tcPr>
            <w:vAlign w:val="center"/>
          </w:tcPr>
          <w:p>
            <w:r>
              <w:t>2504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485290</w:t>
            </w:r>
          </w:p>
        </w:tc>
        <w:tc>
          <w:tcPr>
            <w:vAlign w:val="center"/>
          </w:tcPr>
          <w:p>
            <w:r>
              <w:t>699</w:t>
            </w:r>
          </w:p>
        </w:tc>
        <w:tc>
          <w:tcPr>
            <w:vAlign w:val="center"/>
          </w:tcPr>
          <w:p>
            <w:r>
              <w:t>－</w:t>
            </w:r>
          </w:p>
        </w:tc>
        <w:tc>
          <w:tcPr>
            <w:vAlign w:val="center"/>
          </w:tcPr>
          <w:p>
            <w:r>
              <w:t>87375</w:t>
            </w:r>
          </w:p>
        </w:tc>
        <w:tc>
          <w:tcPr>
            <w:vAlign w:val="center"/>
          </w:tcPr>
          <w:p>
            <w:r>
              <w:t>25906</w:t>
            </w:r>
          </w:p>
        </w:tc>
        <w:tc>
          <w:tcPr>
            <w:vAlign w:val="center"/>
          </w:tcPr>
          <w:p>
            <w:r>
              <w:t>5592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836113</w:t>
            </w:r>
          </w:p>
        </w:tc>
        <w:tc>
          <w:tcPr>
            <w:vAlign w:val="center"/>
          </w:tcPr>
          <w:p>
            <w:r>
              <w:t>1941</w:t>
            </w:r>
          </w:p>
        </w:tc>
        <w:tc>
          <w:tcPr>
            <w:vAlign w:val="center"/>
          </w:tcPr>
          <w:p/>
        </w:tc>
        <w:tc>
          <w:tcPr>
            <w:vAlign w:val="center"/>
          </w:tcPr>
          <w:p>
            <w:r>
              <w:t>175081</w:t>
            </w:r>
          </w:p>
        </w:tc>
        <w:tc>
          <w:tcPr>
            <w:vAlign w:val="center"/>
          </w:tcPr>
          <w:p>
            <w:r>
              <w:t>74401</w:t>
            </w:r>
          </w:p>
        </w:tc>
        <w:tc>
          <w:tcPr>
            <w:vAlign w:val="center"/>
          </w:tcPr>
          <w:p>
            <w:r>
              <w:t>15528</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热泵机组</w:t>
            </w:r>
          </w:p>
        </w:tc>
        <w:tc>
          <w:tcPr>
            <w:vAlign w:val="center"/>
          </w:tcPr>
          <w:p>
            <w:r>
              <w:t>175081</w:t>
            </w:r>
          </w:p>
        </w:tc>
        <w:tc>
          <w:tcPr>
            <w:vMerge w:val="restart"/>
            <w:vAlign w:val="center"/>
          </w:tcPr>
          <w:p>
            <w:r>
              <w:t>0.5703</w:t>
            </w:r>
          </w:p>
        </w:tc>
        <w:tc>
          <w:tcPr>
            <w:vAlign w:val="center"/>
          </w:tcPr>
          <w:p>
            <w:r>
              <w:t>99.848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供暖水泵</w:t>
            </w:r>
          </w:p>
        </w:tc>
        <w:tc>
          <w:tcPr>
            <w:vAlign w:val="center"/>
          </w:tcPr>
          <w:p>
            <w:r>
              <w:t>74401</w:t>
            </w:r>
          </w:p>
        </w:tc>
        <w:tc>
          <w:tcPr>
            <w:vMerge w:val="continue"/>
            <w:vAlign w:val="center"/>
          </w:tcPr>
          <w:p/>
        </w:tc>
        <w:tc>
          <w:tcPr>
            <w:vAlign w:val="center"/>
          </w:tcPr>
          <w:p>
            <w:r>
              <w:t>42.431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热源侧水泵</w:t>
            </w:r>
          </w:p>
        </w:tc>
        <w:tc>
          <w:tcPr>
            <w:vAlign w:val="center"/>
          </w:tcPr>
          <w:p>
            <w:r>
              <w:t>15528</w:t>
            </w:r>
          </w:p>
        </w:tc>
        <w:tc>
          <w:tcPr>
            <w:vMerge w:val="continue"/>
            <w:vAlign w:val="center"/>
          </w:tcPr>
          <w:p/>
        </w:tc>
        <w:tc>
          <w:tcPr>
            <w:vAlign w:val="center"/>
          </w:tcPr>
          <w:p>
            <w:r>
              <w:t>8.856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合计</w:t>
            </w:r>
          </w:p>
        </w:tc>
        <w:tc>
          <w:tcPr>
            <w:vAlign w:val="center"/>
          </w:tcPr>
          <w:p>
            <w:r>
              <w:t>151.135</w:t>
            </w:r>
          </w:p>
        </w:tc>
      </w:tr>
    </w:tbl>
    <w:p/>
    <w:p>
      <w:pPr>
        <w:pStyle w:val="5"/>
        <w:rPr>
          <w:rFonts w:hint="eastAsia"/>
          <w:lang w:val="en-US"/>
        </w:rPr>
      </w:pPr>
      <w:bookmarkStart w:id="148" w:name="_Toc23686"/>
      <w:r>
        <w:rPr>
          <w:rFonts w:hint="eastAsia"/>
          <w:lang w:val="en-US"/>
        </w:rPr>
        <w:t>空调风机</w:t>
      </w:r>
      <w:bookmarkEnd w:id="148"/>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独立新排风</w:t>
            </w:r>
          </w:p>
        </w:tc>
        <w:tc>
          <w:tcPr>
            <w:vAlign w:val="center"/>
          </w:tcPr>
          <w:p>
            <w:r>
              <w:t>116638</w:t>
            </w:r>
          </w:p>
        </w:tc>
        <w:tc>
          <w:tcPr>
            <w:vMerge w:val="restart"/>
            <w:vAlign w:val="center"/>
          </w:tcPr>
          <w:p>
            <w:r>
              <w:t>0.5703</w:t>
            </w:r>
          </w:p>
        </w:tc>
        <w:tc>
          <w:tcPr>
            <w:vAlign w:val="center"/>
          </w:tcPr>
          <w:p>
            <w:r>
              <w:t>66.518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风机盘管</w:t>
            </w:r>
          </w:p>
        </w:tc>
        <w:tc>
          <w:tcPr>
            <w:vAlign w:val="center"/>
          </w:tcPr>
          <w:p>
            <w:r>
              <w:t>1165</w:t>
            </w:r>
          </w:p>
        </w:tc>
        <w:tc>
          <w:tcPr>
            <w:vMerge w:val="continue"/>
            <w:vAlign w:val="center"/>
          </w:tcPr>
          <w:p/>
        </w:tc>
        <w:tc>
          <w:tcPr>
            <w:vAlign w:val="center"/>
          </w:tcPr>
          <w:p>
            <w:r>
              <w:t>0.664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合计</w:t>
            </w:r>
          </w:p>
        </w:tc>
        <w:tc>
          <w:tcPr>
            <w:vAlign w:val="center"/>
          </w:tcPr>
          <w:p>
            <w:r>
              <w:t>67.183</w:t>
            </w:r>
          </w:p>
        </w:tc>
      </w:tr>
    </w:tbl>
    <w:p>
      <w:pPr>
        <w:pStyle w:val="4"/>
        <w:rPr>
          <w:rFonts w:hint="eastAsia"/>
          <w:lang w:val="en-US"/>
        </w:rPr>
      </w:pPr>
      <w:bookmarkStart w:id="149" w:name="_Toc22876"/>
      <w:r>
        <w:rPr>
          <w:rFonts w:hint="eastAsia"/>
          <w:lang w:val="en-US"/>
        </w:rPr>
        <w:t>照明</w:t>
      </w:r>
      <w:bookmarkEnd w:id="149"/>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休息室</w:t>
            </w:r>
          </w:p>
        </w:tc>
        <w:tc>
          <w:tcPr>
            <w:vAlign w:val="center"/>
          </w:tcPr>
          <w:p>
            <w:r>
              <w:t>7.59</w:t>
            </w:r>
          </w:p>
        </w:tc>
        <w:tc>
          <w:tcPr>
            <w:vAlign w:val="center"/>
          </w:tcPr>
          <w:p>
            <w:r>
              <w:t>12</w:t>
            </w:r>
          </w:p>
        </w:tc>
        <w:tc>
          <w:tcPr>
            <w:vAlign w:val="center"/>
          </w:tcPr>
          <w:p>
            <w:r>
              <w:t>362</w:t>
            </w:r>
          </w:p>
        </w:tc>
        <w:tc>
          <w:tcPr>
            <w:vAlign w:val="center"/>
          </w:tcPr>
          <w:p>
            <w:r>
              <w:t>2752</w:t>
            </w:r>
          </w:p>
        </w:tc>
        <w:tc>
          <w:tcPr>
            <w:vMerge w:val="restart"/>
            <w:vAlign w:val="center"/>
          </w:tcPr>
          <w:p>
            <w:r>
              <w:t>0.5703</w:t>
            </w:r>
          </w:p>
        </w:tc>
        <w:tc>
          <w:tcPr>
            <w:vAlign w:val="center"/>
          </w:tcPr>
          <w:p>
            <w:r>
              <w:t>1.570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普通办公室</w:t>
            </w:r>
          </w:p>
        </w:tc>
        <w:tc>
          <w:tcPr>
            <w:vAlign w:val="center"/>
          </w:tcPr>
          <w:p>
            <w:r>
              <w:t>12.15</w:t>
            </w:r>
          </w:p>
        </w:tc>
        <w:tc>
          <w:tcPr>
            <w:vAlign w:val="center"/>
          </w:tcPr>
          <w:p>
            <w:r>
              <w:t>77</w:t>
            </w:r>
          </w:p>
        </w:tc>
        <w:tc>
          <w:tcPr>
            <w:vAlign w:val="center"/>
          </w:tcPr>
          <w:p>
            <w:r>
              <w:t>3151</w:t>
            </w:r>
          </w:p>
        </w:tc>
        <w:tc>
          <w:tcPr>
            <w:vAlign w:val="center"/>
          </w:tcPr>
          <w:p>
            <w:r>
              <w:t>38280</w:t>
            </w:r>
          </w:p>
        </w:tc>
        <w:tc>
          <w:tcPr>
            <w:vMerge w:val="continue"/>
            <w:vAlign w:val="center"/>
          </w:tcPr>
          <w:p/>
        </w:tc>
        <w:tc>
          <w:tcPr>
            <w:vAlign w:val="center"/>
          </w:tcPr>
          <w:p>
            <w:r>
              <w:t>21.831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餐厅</w:t>
            </w:r>
          </w:p>
        </w:tc>
        <w:tc>
          <w:tcPr>
            <w:vAlign w:val="center"/>
          </w:tcPr>
          <w:p>
            <w:r>
              <w:t>32.12</w:t>
            </w:r>
          </w:p>
        </w:tc>
        <w:tc>
          <w:tcPr>
            <w:vAlign w:val="center"/>
          </w:tcPr>
          <w:p>
            <w:r>
              <w:t>3</w:t>
            </w:r>
          </w:p>
        </w:tc>
        <w:tc>
          <w:tcPr>
            <w:vAlign w:val="center"/>
          </w:tcPr>
          <w:p>
            <w:r>
              <w:t>3718</w:t>
            </w:r>
          </w:p>
        </w:tc>
        <w:tc>
          <w:tcPr>
            <w:vAlign w:val="center"/>
          </w:tcPr>
          <w:p>
            <w:r>
              <w:t>119410</w:t>
            </w:r>
          </w:p>
        </w:tc>
        <w:tc>
          <w:tcPr>
            <w:vMerge w:val="continue"/>
            <w:vAlign w:val="center"/>
          </w:tcPr>
          <w:p/>
        </w:tc>
        <w:tc>
          <w:tcPr>
            <w:vAlign w:val="center"/>
          </w:tcPr>
          <w:p>
            <w:r>
              <w:t>68.100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总计</w:t>
            </w:r>
          </w:p>
        </w:tc>
        <w:tc>
          <w:tcPr>
            <w:vAlign w:val="center"/>
          </w:tcPr>
          <w:p>
            <w:r>
              <w:t>91.500</w:t>
            </w:r>
          </w:p>
        </w:tc>
      </w:tr>
    </w:tbl>
    <w:p>
      <w:pPr>
        <w:pStyle w:val="4"/>
        <w:rPr>
          <w:rFonts w:hint="eastAsia"/>
          <w:lang w:val="en-US"/>
        </w:rPr>
      </w:pPr>
      <w:bookmarkStart w:id="150" w:name="_Toc9491"/>
      <w:r>
        <w:rPr>
          <w:rFonts w:hint="eastAsia"/>
          <w:lang w:val="en-US"/>
        </w:rPr>
        <w:t>插座设备</w:t>
      </w:r>
      <w:bookmarkEnd w:id="15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休息室</w:t>
            </w:r>
          </w:p>
        </w:tc>
        <w:tc>
          <w:tcPr>
            <w:vAlign w:val="center"/>
          </w:tcPr>
          <w:p>
            <w:r>
              <w:t>0.00</w:t>
            </w:r>
          </w:p>
        </w:tc>
        <w:tc>
          <w:tcPr>
            <w:vAlign w:val="center"/>
          </w:tcPr>
          <w:p>
            <w:r>
              <w:t>12</w:t>
            </w:r>
          </w:p>
        </w:tc>
        <w:tc>
          <w:tcPr>
            <w:vAlign w:val="center"/>
          </w:tcPr>
          <w:p>
            <w:r>
              <w:t>362</w:t>
            </w:r>
          </w:p>
        </w:tc>
        <w:tc>
          <w:tcPr>
            <w:vAlign w:val="center"/>
          </w:tcPr>
          <w:p>
            <w:r>
              <w:t>0</w:t>
            </w:r>
          </w:p>
        </w:tc>
        <w:tc>
          <w:tcPr>
            <w:vMerge w:val="restart"/>
            <w:vAlign w:val="center"/>
          </w:tcPr>
          <w:p>
            <w:r>
              <w:t>0.5703</w:t>
            </w:r>
          </w:p>
        </w:tc>
        <w:tc>
          <w:tcPr>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普通办公室</w:t>
            </w:r>
          </w:p>
        </w:tc>
        <w:tc>
          <w:tcPr>
            <w:vAlign w:val="center"/>
          </w:tcPr>
          <w:p>
            <w:r>
              <w:t>31.87</w:t>
            </w:r>
          </w:p>
        </w:tc>
        <w:tc>
          <w:tcPr>
            <w:vAlign w:val="center"/>
          </w:tcPr>
          <w:p>
            <w:r>
              <w:t>77</w:t>
            </w:r>
          </w:p>
        </w:tc>
        <w:tc>
          <w:tcPr>
            <w:vAlign w:val="center"/>
          </w:tcPr>
          <w:p>
            <w:r>
              <w:t>3151</w:t>
            </w:r>
          </w:p>
        </w:tc>
        <w:tc>
          <w:tcPr>
            <w:vAlign w:val="center"/>
          </w:tcPr>
          <w:p>
            <w:r>
              <w:t>100398</w:t>
            </w:r>
          </w:p>
        </w:tc>
        <w:tc>
          <w:tcPr>
            <w:vMerge w:val="continue"/>
            <w:vAlign w:val="center"/>
          </w:tcPr>
          <w:p/>
        </w:tc>
        <w:tc>
          <w:tcPr>
            <w:vAlign w:val="center"/>
          </w:tcPr>
          <w:p>
            <w:r>
              <w:t>57.257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餐厅</w:t>
            </w:r>
          </w:p>
        </w:tc>
        <w:tc>
          <w:tcPr>
            <w:vAlign w:val="center"/>
          </w:tcPr>
          <w:p>
            <w:r>
              <w:t>47.93</w:t>
            </w:r>
          </w:p>
        </w:tc>
        <w:tc>
          <w:tcPr>
            <w:vAlign w:val="center"/>
          </w:tcPr>
          <w:p>
            <w:r>
              <w:t>3</w:t>
            </w:r>
          </w:p>
        </w:tc>
        <w:tc>
          <w:tcPr>
            <w:vAlign w:val="center"/>
          </w:tcPr>
          <w:p>
            <w:r>
              <w:t>3718</w:t>
            </w:r>
          </w:p>
        </w:tc>
        <w:tc>
          <w:tcPr>
            <w:vAlign w:val="center"/>
          </w:tcPr>
          <w:p>
            <w:r>
              <w:t>178190</w:t>
            </w:r>
          </w:p>
        </w:tc>
        <w:tc>
          <w:tcPr>
            <w:vMerge w:val="continue"/>
            <w:vAlign w:val="center"/>
          </w:tcPr>
          <w:p/>
        </w:tc>
        <w:tc>
          <w:tcPr>
            <w:vAlign w:val="center"/>
          </w:tcPr>
          <w:p>
            <w:r>
              <w:t>101.622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总计</w:t>
            </w:r>
          </w:p>
        </w:tc>
        <w:tc>
          <w:tcPr>
            <w:vAlign w:val="center"/>
          </w:tcPr>
          <w:p>
            <w:r>
              <w:t>158.879</w:t>
            </w:r>
          </w:p>
        </w:tc>
      </w:tr>
    </w:tbl>
    <w:p>
      <w:pPr>
        <w:pStyle w:val="4"/>
        <w:rPr>
          <w:rFonts w:hint="eastAsia"/>
          <w:lang w:val="en-US"/>
        </w:rPr>
      </w:pPr>
      <w:bookmarkStart w:id="151" w:name="_Toc10677"/>
      <w:r>
        <w:rPr>
          <w:rFonts w:hint="eastAsia"/>
          <w:lang w:val="en-US"/>
        </w:rPr>
        <w:t>炊事</w:t>
      </w:r>
      <w:bookmarkEnd w:id="151"/>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839"/>
        <w:gridCol w:w="1697"/>
        <w:gridCol w:w="1980"/>
        <w:gridCol w:w="18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燃气用量指标</w:t>
            </w:r>
            <w:r>
              <w:br w:type="textWrapping"/>
            </w:r>
            <w:r>
              <w:t>(m3/m2·a)</w:t>
            </w:r>
          </w:p>
        </w:tc>
        <w:tc>
          <w:tcPr>
            <w:shd w:val="clear" w:color="auto" w:fill="E6E6E6"/>
            <w:vAlign w:val="center"/>
          </w:tcPr>
          <w:p>
            <w:pPr>
              <w:jc w:val="center"/>
            </w:pPr>
            <w:r>
              <w:t>燃气消耗</w:t>
            </w:r>
            <w:r>
              <w:br w:type="textWrapping"/>
            </w:r>
            <w:r>
              <w:t>(m3/a)</w:t>
            </w:r>
          </w:p>
        </w:tc>
        <w:tc>
          <w:tcPr>
            <w:shd w:val="clear" w:color="auto" w:fill="E6E6E6"/>
            <w:vAlign w:val="center"/>
          </w:tcPr>
          <w:p>
            <w:pPr>
              <w:jc w:val="center"/>
            </w:pPr>
            <w:r>
              <w:t>燃气热值</w:t>
            </w:r>
            <w:r>
              <w:br w:type="textWrapping"/>
            </w:r>
            <w:r>
              <w:t>(kWh/m3)</w:t>
            </w:r>
          </w:p>
        </w:tc>
        <w:tc>
          <w:tcPr>
            <w:shd w:val="clear" w:color="auto" w:fill="E6E6E6"/>
            <w:vAlign w:val="center"/>
          </w:tcPr>
          <w:p>
            <w:pPr>
              <w:jc w:val="center"/>
            </w:pPr>
            <w:r>
              <w:t>碳排放因子</w:t>
            </w:r>
            <w:r>
              <w:br w:type="textWrapping"/>
            </w:r>
            <w:r>
              <w:t>(tCO2/TJ)</w:t>
            </w:r>
          </w:p>
        </w:tc>
        <w:tc>
          <w:tcPr>
            <w:shd w:val="clear" w:color="auto" w:fill="E6E6E6"/>
            <w:vAlign w:val="center"/>
          </w:tcPr>
          <w:p>
            <w:pPr>
              <w:jc w:val="center"/>
            </w:pPr>
            <w:r>
              <w:t>碳排放量</w:t>
            </w:r>
            <w:r>
              <w:br w:type="textWrapping"/>
            </w:r>
            <w:r>
              <w:t>(tCO2/a)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54.7</w:t>
            </w:r>
          </w:p>
        </w:tc>
        <w:tc>
          <w:tcPr>
            <w:vAlign w:val="center"/>
          </w:tcPr>
          <w:p>
            <w:r>
              <w:t>400444</w:t>
            </w:r>
          </w:p>
        </w:tc>
        <w:tc>
          <w:tcPr>
            <w:vAlign w:val="center"/>
          </w:tcPr>
          <w:p>
            <w:r>
              <w:t>9.87</w:t>
            </w:r>
          </w:p>
        </w:tc>
        <w:tc>
          <w:tcPr>
            <w:vAlign w:val="center"/>
          </w:tcPr>
          <w:p>
            <w:r>
              <w:t>56</w:t>
            </w:r>
          </w:p>
        </w:tc>
        <w:tc>
          <w:tcPr>
            <w:vAlign w:val="center"/>
          </w:tcPr>
          <w:p>
            <w:r>
              <w:t>790.255</w:t>
            </w:r>
          </w:p>
        </w:tc>
      </w:tr>
    </w:tbl>
    <w:p>
      <w:pPr>
        <w:sectPr>
          <w:pgSz w:w="11906" w:h="16838"/>
          <w:pgMar w:top="1440" w:right="1418" w:bottom="1440" w:left="1418" w:header="851" w:footer="992" w:gutter="0"/>
          <w:cols w:space="425" w:num="1"/>
          <w:docGrid w:type="lines" w:linePitch="312" w:charSpace="0"/>
        </w:sectPr>
      </w:pPr>
    </w:p>
    <w:p>
      <w:pPr>
        <w:pStyle w:val="4"/>
        <w:rPr>
          <w:rFonts w:hint="eastAsia"/>
          <w:lang w:val="en-US"/>
        </w:rPr>
      </w:pPr>
      <w:bookmarkStart w:id="152" w:name="_Toc6447"/>
      <w:r>
        <w:rPr>
          <w:rFonts w:hint="eastAsia"/>
          <w:lang w:val="en-US"/>
        </w:rPr>
        <w:t>时间表</w:t>
      </w:r>
      <w:bookmarkEnd w:id="152"/>
    </w:p>
    <w:p>
      <w:pPr>
        <w:rPr>
          <w:rFonts w:hint="eastAsia"/>
          <w:lang w:val="en-US"/>
        </w:rPr>
      </w:pPr>
    </w:p>
    <w:p>
      <w:r>
        <w:t>暑假:7.15~8.25; 寒假：1.15~2.20</w:t>
      </w:r>
    </w:p>
    <w:p>
      <w:pPr>
        <w:pStyle w:val="5"/>
      </w:pPr>
      <w:bookmarkStart w:id="153" w:name="_Toc29842"/>
      <w:r>
        <w:t>工作日/节假日人员逐时在室率(%)</w:t>
      </w:r>
      <w:bookmarkEnd w:id="153"/>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54" w:name="_Toc16165"/>
      <w:r>
        <w:t>工作日/节假日照明开关时间表(%)</w:t>
      </w:r>
      <w:bookmarkEnd w:id="154"/>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注：第一行：工作日；第二行：节假日；第三行：寒假；第四行：暑假</w:t>
      </w:r>
    </w:p>
    <w:p>
      <w:pPr>
        <w:pStyle w:val="5"/>
      </w:pPr>
      <w:bookmarkStart w:id="155" w:name="_Toc31395"/>
      <w:r>
        <w:t>工作日/节假日设备逐时使用率(%)</w:t>
      </w:r>
      <w:bookmarkEnd w:id="155"/>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56" w:name="_Toc8757"/>
      <w:r>
        <w:t>工作日/节假日空调系统运行时间表(1:开,0:关)</w:t>
      </w:r>
      <w:bookmarkEnd w:id="156"/>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57" w:name="_Toc23121"/>
      <w:r>
        <w:t>工作日/节假日新风运行时间表(%)</w:t>
      </w:r>
      <w:bookmarkEnd w:id="157"/>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00"/>
      <w:jc w:val="left"/>
      <w:rPr>
        <w:rFonts w:ascii="Calibri" w:hAnsi="Calibri" w:cs="Calibri"/>
        <w:color w:val="000000"/>
        <w:sz w:val="20"/>
        <w:szCs w:val="20"/>
      </w:rPr>
    </w:pPr>
  </w:p>
  <w:p>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NzllMWU2NmUyMjJiMTY2N2FkMWVmZDY1MGU2MjcifQ=="/>
  </w:docVars>
  <w:rsids>
    <w:rsidRoot w:val="5D8323A3"/>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D8323A3"/>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duoyu\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20</Pages>
  <Words>8225</Words>
  <Characters>12412</Characters>
  <Lines>78</Lines>
  <Paragraphs>22</Paragraphs>
  <TotalTime>7</TotalTime>
  <ScaleCrop>false</ScaleCrop>
  <LinksUpToDate>false</LinksUpToDate>
  <CharactersWithSpaces>12863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2024-11-26T10:33:00Z</dcterms:created>
  <dc:creator>WPS_1590190393</dc:creator>
  <cp:lastModifiedBy>WPS_1590190393</cp:lastModifiedBy>
  <dcterms:modified xsi:type="dcterms:W3CDTF">2024-11-26T10:41:51Z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97587615E9784D26991162A1A1469E79_11</vt:lpwstr>
  </property>
</Properties>
</file>