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0724DE">
      <w:pPr>
        <w:rPr>
          <w:rFonts w:cs="宋体"/>
          <w:b/>
          <w:bCs/>
          <w:color w:val="000000"/>
          <w:sz w:val="60"/>
          <w:szCs w:val="60"/>
        </w:rPr>
      </w:pPr>
      <w:bookmarkStart w:id="29" w:name="_GoBack"/>
      <w:bookmarkEnd w:id="29"/>
    </w:p>
    <w:p w14:paraId="0C8CDEA5">
      <w:pPr>
        <w:jc w:val="center"/>
        <w:rPr>
          <w:rFonts w:cs="宋体"/>
          <w:b/>
          <w:bCs/>
          <w:color w:val="000000"/>
          <w:sz w:val="60"/>
          <w:szCs w:val="60"/>
        </w:rPr>
      </w:pPr>
      <w:r>
        <w:rPr>
          <w:rFonts w:hint="eastAsia" w:cs="宋体"/>
          <w:b/>
          <w:bCs/>
          <w:color w:val="000000"/>
          <w:sz w:val="60"/>
          <w:szCs w:val="60"/>
        </w:rPr>
        <w:t>建设项目日照分析报告</w:t>
      </w:r>
    </w:p>
    <w:p w14:paraId="381E94DD">
      <w:pPr>
        <w:jc w:val="center"/>
        <w:rPr>
          <w:rFonts w:cs="宋体"/>
          <w:b/>
          <w:bCs/>
          <w:color w:val="000000"/>
          <w:sz w:val="60"/>
          <w:szCs w:val="60"/>
        </w:rPr>
      </w:pPr>
    </w:p>
    <w:p w14:paraId="1293F5F0">
      <w:pPr>
        <w:jc w:val="center"/>
        <w:rPr>
          <w:rFonts w:cs="宋体"/>
          <w:b/>
          <w:bCs/>
          <w:color w:val="000000"/>
          <w:sz w:val="60"/>
          <w:szCs w:val="60"/>
        </w:rPr>
      </w:pPr>
    </w:p>
    <w:p w14:paraId="11A07E0B">
      <w:pPr>
        <w:jc w:val="center"/>
        <w:rPr>
          <w:rFonts w:cs="宋体"/>
          <w:b/>
          <w:bCs/>
          <w:color w:val="000000"/>
          <w:sz w:val="60"/>
          <w:szCs w:val="60"/>
        </w:rPr>
      </w:pPr>
    </w:p>
    <w:p w14:paraId="2C1834E3">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r>
        <w:t>东道10号</w:t>
      </w:r>
      <w:bookmarkEnd w:id="0"/>
      <w:r>
        <w:rPr>
          <w:rFonts w:cs="宋体"/>
          <w:b/>
          <w:bCs/>
          <w:color w:val="000000"/>
          <w:sz w:val="32"/>
          <w:szCs w:val="32"/>
          <w:u w:val="single"/>
        </w:rPr>
        <w:t xml:space="preserve">                             </w:t>
      </w:r>
    </w:p>
    <w:p w14:paraId="5B48D11E">
      <w:pPr>
        <w:rPr>
          <w:rFonts w:cs="宋体"/>
          <w:b/>
          <w:bCs/>
          <w:color w:val="000000"/>
          <w:sz w:val="32"/>
          <w:szCs w:val="32"/>
        </w:rPr>
      </w:pPr>
    </w:p>
    <w:p w14:paraId="0476D774">
      <w:pPr>
        <w:rPr>
          <w:rFonts w:cs="宋体"/>
          <w:b/>
          <w:bCs/>
          <w:color w:val="000000"/>
          <w:sz w:val="32"/>
          <w:szCs w:val="32"/>
        </w:rPr>
      </w:pPr>
    </w:p>
    <w:p w14:paraId="5B75627C">
      <w:pPr>
        <w:rPr>
          <w:rFonts w:cs="宋体"/>
          <w:b/>
          <w:bCs/>
          <w:color w:val="000000"/>
          <w:sz w:val="32"/>
          <w:szCs w:val="32"/>
        </w:rPr>
      </w:pPr>
    </w:p>
    <w:p w14:paraId="492E37CF">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hint="eastAsia" w:cs="宋体"/>
          <w:b/>
          <w:bCs/>
          <w:color w:val="000000"/>
          <w:sz w:val="32"/>
          <w:szCs w:val="32"/>
        </w:rPr>
        <w:t>（章）</w:t>
      </w:r>
    </w:p>
    <w:p w14:paraId="00E9DF06">
      <w:pPr>
        <w:rPr>
          <w:rFonts w:cs="宋体"/>
          <w:b/>
          <w:bCs/>
          <w:color w:val="000000"/>
          <w:sz w:val="32"/>
          <w:szCs w:val="32"/>
        </w:rPr>
      </w:pPr>
    </w:p>
    <w:p w14:paraId="46E73D24">
      <w:pPr>
        <w:rPr>
          <w:rFonts w:cs="宋体"/>
          <w:b/>
          <w:bCs/>
          <w:color w:val="000000"/>
          <w:sz w:val="32"/>
          <w:szCs w:val="32"/>
        </w:rPr>
      </w:pPr>
    </w:p>
    <w:p w14:paraId="04B8F8EF">
      <w:pPr>
        <w:rPr>
          <w:rFonts w:cs="宋体"/>
          <w:b/>
          <w:bCs/>
          <w:color w:val="000000"/>
          <w:sz w:val="32"/>
          <w:szCs w:val="32"/>
        </w:rPr>
      </w:pPr>
    </w:p>
    <w:p w14:paraId="6AB90829">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hint="eastAsia" w:cs="宋体"/>
          <w:b/>
          <w:bCs/>
          <w:color w:val="000000"/>
          <w:sz w:val="32"/>
          <w:szCs w:val="32"/>
        </w:rPr>
        <w:t>（章）</w:t>
      </w:r>
    </w:p>
    <w:p w14:paraId="3780E03A">
      <w:pPr>
        <w:rPr>
          <w:rFonts w:cs="宋体"/>
          <w:b/>
          <w:bCs/>
          <w:color w:val="000000"/>
          <w:sz w:val="32"/>
          <w:szCs w:val="32"/>
        </w:rPr>
      </w:pPr>
    </w:p>
    <w:p w14:paraId="28367E83">
      <w:pPr>
        <w:rPr>
          <w:rFonts w:cs="宋体"/>
          <w:b/>
          <w:bCs/>
          <w:color w:val="000000"/>
          <w:sz w:val="32"/>
          <w:szCs w:val="32"/>
        </w:rPr>
      </w:pPr>
    </w:p>
    <w:p w14:paraId="1D6063F6">
      <w:pPr>
        <w:rPr>
          <w:rFonts w:cs="宋体"/>
          <w:b/>
          <w:bCs/>
          <w:color w:val="000000"/>
          <w:sz w:val="32"/>
          <w:szCs w:val="32"/>
        </w:rPr>
      </w:pPr>
    </w:p>
    <w:p w14:paraId="781D2E92">
      <w:pPr>
        <w:rPr>
          <w:rFonts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3" w:name="报告日期"/>
      <w:r>
        <w:t>2025年03月12日</w:t>
      </w:r>
      <w:bookmarkEnd w:id="3"/>
    </w:p>
    <w:p w14:paraId="756B88DF">
      <w:pPr>
        <w:jc w:val="center"/>
        <w:rPr>
          <w:rFonts w:cs="宋体"/>
          <w:b/>
          <w:bCs/>
          <w:color w:val="000000"/>
          <w:sz w:val="32"/>
          <w:szCs w:val="32"/>
        </w:rPr>
      </w:pPr>
    </w:p>
    <w:p w14:paraId="3298BBC0">
      <w:pPr>
        <w:jc w:val="center"/>
        <w:rPr>
          <w:rFonts w:cs="宋体"/>
          <w:b/>
          <w:bCs/>
          <w:color w:val="000000"/>
          <w:sz w:val="32"/>
          <w:szCs w:val="32"/>
        </w:rPr>
      </w:pPr>
    </w:p>
    <w:p w14:paraId="5B0091AB">
      <w:pPr>
        <w:rPr>
          <w:rFonts w:cs="宋体"/>
          <w:b/>
          <w:bCs/>
          <w:color w:val="000000"/>
          <w:sz w:val="32"/>
          <w:szCs w:val="32"/>
        </w:rPr>
      </w:pPr>
      <w:r>
        <w:rPr>
          <w:rFonts w:cs="宋体"/>
          <w:b/>
          <w:bCs/>
          <w:color w:val="000000"/>
          <w:sz w:val="32"/>
          <w:szCs w:val="32"/>
          <w:u w:val="single"/>
        </w:rPr>
        <w:t xml:space="preserve">  </w:t>
      </w:r>
      <w:bookmarkStart w:id="4" w:name="项目名称1"/>
      <w:r>
        <w:t>东道10号</w:t>
      </w:r>
      <w:bookmarkEnd w:id="4"/>
      <w:r>
        <w:rPr>
          <w:rFonts w:cs="宋体"/>
          <w:b/>
          <w:bCs/>
          <w:color w:val="000000"/>
          <w:sz w:val="32"/>
          <w:szCs w:val="32"/>
          <w:u w:val="single"/>
        </w:rPr>
        <w:t xml:space="preserve">               </w:t>
      </w:r>
      <w:r>
        <w:rPr>
          <w:rFonts w:hint="eastAsia" w:cs="宋体"/>
          <w:b/>
          <w:bCs/>
          <w:color w:val="000000"/>
          <w:sz w:val="32"/>
          <w:szCs w:val="32"/>
        </w:rPr>
        <w:t>日照分析报告</w:t>
      </w:r>
    </w:p>
    <w:p w14:paraId="7C8152A1">
      <w:pPr>
        <w:rPr>
          <w:rFonts w:ascii="宋体" w:hAnsi="宋体" w:cs="宋体"/>
          <w:b/>
          <w:bCs/>
          <w:color w:val="000000"/>
          <w:sz w:val="24"/>
          <w:szCs w:val="32"/>
        </w:rPr>
      </w:pPr>
    </w:p>
    <w:p w14:paraId="0D0B2CEB">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350AB76E">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092E7D72">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3841BAF3">
      <w:pPr>
        <w:spacing w:line="400" w:lineRule="auto"/>
        <w:rPr>
          <w:rFonts w:ascii="宋体" w:hAnsi="宋体" w:cs="宋体"/>
          <w:bCs/>
          <w:color w:val="000000"/>
          <w:sz w:val="24"/>
          <w:szCs w:val="32"/>
        </w:rPr>
      </w:pPr>
    </w:p>
    <w:p w14:paraId="3944D0E7">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54472C0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38629559">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27ADDA56">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519E3C07">
      <w:pPr>
        <w:spacing w:line="400" w:lineRule="auto"/>
        <w:rPr>
          <w:rFonts w:ascii="宋体" w:hAnsi="宋体" w:cs="宋体"/>
          <w:bCs/>
          <w:color w:val="000000"/>
          <w:sz w:val="24"/>
          <w:szCs w:val="32"/>
        </w:rPr>
      </w:pPr>
    </w:p>
    <w:p w14:paraId="052C0791">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46F68AFB">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55AF10A9">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661558BB">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240E357B">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6F61CA32">
      <w:pPr>
        <w:spacing w:line="360" w:lineRule="auto"/>
        <w:ind w:firstLine="480" w:firstLineChars="200"/>
        <w:rPr>
          <w:rFonts w:ascii="宋体" w:hAnsi="宋体"/>
          <w:sz w:val="24"/>
        </w:rPr>
      </w:pPr>
      <w:r>
        <w:rPr>
          <w:rFonts w:hint="eastAsia" w:ascii="宋体" w:hAnsi="宋体"/>
          <w:sz w:val="24"/>
        </w:rPr>
        <w:t>建设基地周边电子地形图（详见附图   ）。</w:t>
      </w:r>
    </w:p>
    <w:p w14:paraId="26DCA925">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14:paraId="54522DCF">
      <w:pPr>
        <w:spacing w:line="440" w:lineRule="exact"/>
        <w:rPr>
          <w:rFonts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1" w:name="NEW_TABLE"/>
      <w:bookmarkEnd w:id="21"/>
    </w:p>
    <w:p w14:paraId="71797FBE">
      <w:r>
        <w:rPr>
          <w:color w:val="000000"/>
          <w:lang w:val="zh-CN"/>
        </w:rPr>
        <w:t>遮挡关系表</w:t>
      </w:r>
    </w:p>
    <w:tbl>
      <w:tblPr>
        <w:tblStyle w:val="5"/>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660"/>
        <w:gridCol w:w="5880"/>
      </w:tblGrid>
      <w:tr w14:paraId="6906E2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3FF38F9">
            <w:pPr>
              <w:rPr>
                <w:sz w:val="24"/>
                <w:szCs w:val="24"/>
              </w:rPr>
            </w:pPr>
            <w:r>
              <w:rPr>
                <w:sz w:val="24"/>
                <w:szCs w:val="24"/>
              </w:rPr>
              <w:t>被遮挡建筑</w:t>
            </w:r>
          </w:p>
        </w:tc>
        <w:tc>
          <w:tcPr>
            <w:vAlign w:val="center"/>
          </w:tcPr>
          <w:p w14:paraId="41BB8B9C">
            <w:pPr>
              <w:rPr>
                <w:sz w:val="24"/>
                <w:szCs w:val="24"/>
              </w:rPr>
            </w:pPr>
            <w:r>
              <w:rPr>
                <w:sz w:val="24"/>
                <w:szCs w:val="24"/>
              </w:rPr>
              <w:t>遮挡物建筑</w:t>
            </w:r>
          </w:p>
        </w:tc>
      </w:tr>
      <w:tr w14:paraId="21EF8F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91C47AB">
            <w:pPr>
              <w:rPr>
                <w:sz w:val="24"/>
                <w:szCs w:val="24"/>
              </w:rPr>
            </w:pPr>
            <w:r>
              <w:rPr>
                <w:sz w:val="24"/>
                <w:szCs w:val="24"/>
              </w:rPr>
              <w:t>1226东道10号DANTIDWG</w:t>
            </w:r>
          </w:p>
        </w:tc>
        <w:tc>
          <w:tcPr>
            <w:vAlign w:val="center"/>
          </w:tcPr>
          <w:p w14:paraId="57C4BAFA">
            <w:pPr>
              <w:rPr>
                <w:sz w:val="24"/>
                <w:szCs w:val="24"/>
              </w:rPr>
            </w:pPr>
            <w:r>
              <w:rPr>
                <w:sz w:val="24"/>
                <w:szCs w:val="24"/>
              </w:rPr>
              <w:t>其他建筑</w:t>
            </w:r>
          </w:p>
        </w:tc>
      </w:tr>
    </w:tbl>
    <w:p w14:paraId="12FD3EF2">
      <w:pPr>
        <w:spacing w:line="440" w:lineRule="exact"/>
        <w:rPr>
          <w:rFonts w:ascii="宋体" w:hAnsi="宋体" w:cs="宋体"/>
          <w:b/>
          <w:bCs/>
          <w:color w:val="000000"/>
          <w:sz w:val="24"/>
          <w:szCs w:val="32"/>
        </w:rPr>
      </w:pPr>
      <w:bookmarkStart w:id="22" w:name="基地内拟建建筑"/>
      <w:bookmarkEnd w:id="22"/>
    </w:p>
    <w:p w14:paraId="55846CE0">
      <w:pPr>
        <w:spacing w:line="440" w:lineRule="exact"/>
        <w:rPr>
          <w:rFonts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3" w:name="CLIENT_TABLE"/>
      <w:bookmarkEnd w:id="23"/>
    </w:p>
    <w:p w14:paraId="33CEAA39">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4" w:name="基地外阴影分析范围内的客体建筑"/>
      <w:bookmarkEnd w:id="24"/>
    </w:p>
    <w:p w14:paraId="45C4545B">
      <w:pPr>
        <w:spacing w:line="440" w:lineRule="exact"/>
        <w:rPr>
          <w:rFonts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5" w:name="OLD_TABLE"/>
      <w:bookmarkEnd w:id="25"/>
    </w:p>
    <w:p w14:paraId="0F5B4AB8">
      <w:pPr>
        <w:spacing w:line="440" w:lineRule="exact"/>
        <w:rPr>
          <w:rFonts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26" w:name="基地外参与叠加分析的主体建筑"/>
      <w:bookmarkEnd w:id="26"/>
    </w:p>
    <w:p w14:paraId="36E8E2FD">
      <w:pPr>
        <w:spacing w:line="440" w:lineRule="exact"/>
        <w:rPr>
          <w:rFonts w:ascii="宋体" w:hAnsi="宋体" w:cs="宋体"/>
          <w:b/>
          <w:bCs/>
          <w:color w:val="000000"/>
          <w:sz w:val="24"/>
          <w:szCs w:val="32"/>
        </w:rPr>
      </w:pPr>
    </w:p>
    <w:p w14:paraId="5D9A39BE">
      <w:pPr>
        <w:spacing w:line="440" w:lineRule="exact"/>
        <w:rPr>
          <w:rFonts w:ascii="宋体" w:hAnsi="宋体" w:cs="宋体"/>
          <w:bCs/>
          <w:color w:val="000000"/>
          <w:sz w:val="24"/>
          <w:szCs w:val="32"/>
        </w:rPr>
      </w:pPr>
      <w:r>
        <w:rPr>
          <w:rFonts w:hint="eastAsia" w:ascii="宋体" w:hAnsi="宋体" w:cs="宋体"/>
          <w:bCs/>
          <w:color w:val="000000"/>
          <w:sz w:val="24"/>
          <w:szCs w:val="32"/>
        </w:rPr>
        <w:t>注：</w:t>
      </w:r>
    </w:p>
    <w:p w14:paraId="3EC03127">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342C7AD5">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3608187A">
      <w:pPr>
        <w:spacing w:line="440" w:lineRule="exact"/>
        <w:rPr>
          <w:rFonts w:ascii="宋体" w:hAnsi="宋体" w:cs="宋体"/>
          <w:bCs/>
          <w:color w:val="000000"/>
          <w:sz w:val="24"/>
          <w:szCs w:val="32"/>
        </w:rPr>
      </w:pPr>
    </w:p>
    <w:p w14:paraId="295D6026">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0C704DC4">
      <w:pPr>
        <w:spacing w:line="440" w:lineRule="exact"/>
        <w:rPr>
          <w:rFonts w:eastAsia="黑体"/>
          <w:b/>
          <w:bCs/>
          <w:sz w:val="24"/>
          <w:szCs w:val="24"/>
        </w:rPr>
      </w:pPr>
      <w:r>
        <w:rPr>
          <w:rFonts w:eastAsia="黑体"/>
          <w:sz w:val="24"/>
          <w:szCs w:val="24"/>
        </w:rPr>
        <w:t>4.1 《城市居住区规划设计规范》（GBJ50180－2018）的条文</w:t>
      </w:r>
    </w:p>
    <w:p w14:paraId="25AE1F99">
      <w:pPr>
        <w:spacing w:line="440" w:lineRule="exact"/>
        <w:ind w:left="420" w:leftChars="200" w:firstLine="105" w:firstLineChars="50"/>
        <w:rPr>
          <w:b/>
        </w:rPr>
      </w:pPr>
      <w:r>
        <w:rPr>
          <w:b/>
        </w:rPr>
        <w:t>4.0.9 住宅建筑的间距应符合表4.0.9的规定；对特定情况，还应符合下列规定：</w:t>
      </w:r>
    </w:p>
    <w:p w14:paraId="0F357049">
      <w:pPr>
        <w:numPr>
          <w:ilvl w:val="0"/>
          <w:numId w:val="1"/>
        </w:numPr>
        <w:tabs>
          <w:tab w:val="left" w:pos="987"/>
          <w:tab w:val="clear" w:pos="720"/>
        </w:tabs>
        <w:spacing w:line="440" w:lineRule="exact"/>
        <w:ind w:left="987" w:leftChars="200" w:hanging="567"/>
      </w:pPr>
      <w:r>
        <w:t>老年人居住建筑日照标准不应低于冬至日日照时数2h；</w:t>
      </w:r>
    </w:p>
    <w:p w14:paraId="5521DDA2">
      <w:pPr>
        <w:numPr>
          <w:ilvl w:val="0"/>
          <w:numId w:val="1"/>
        </w:numPr>
        <w:tabs>
          <w:tab w:val="left" w:pos="987"/>
          <w:tab w:val="clear" w:pos="720"/>
        </w:tabs>
        <w:spacing w:line="440" w:lineRule="exact"/>
        <w:ind w:left="987" w:leftChars="200" w:hanging="567"/>
      </w:pPr>
      <w:r>
        <w:t>在原设计建筑外增加任何设施不应使相邻住宅原有日照标准降低，既有住宅建筑进行无障碍改造加装电梯除外；</w:t>
      </w:r>
    </w:p>
    <w:p w14:paraId="778728FE">
      <w:pPr>
        <w:numPr>
          <w:ilvl w:val="0"/>
          <w:numId w:val="1"/>
        </w:numPr>
        <w:tabs>
          <w:tab w:val="left" w:pos="987"/>
          <w:tab w:val="clear" w:pos="720"/>
        </w:tabs>
        <w:spacing w:line="440" w:lineRule="exact"/>
        <w:ind w:left="987" w:leftChars="200" w:hanging="567"/>
      </w:pPr>
      <w:r>
        <w:t>旧区改建项目内新建住宅建筑日照标准不应低于大寒日日照时数1h。</w:t>
      </w:r>
    </w:p>
    <w:p w14:paraId="5E14D008">
      <w:pPr>
        <w:spacing w:line="360" w:lineRule="auto"/>
        <w:ind w:firstLine="480"/>
        <w:jc w:val="center"/>
        <w:rPr>
          <w:rFonts w:ascii="宋体" w:hAnsi="宋体"/>
          <w:sz w:val="24"/>
        </w:rPr>
      </w:pPr>
      <w:r>
        <w:rPr>
          <w:rFonts w:ascii="宋体" w:hAnsi="宋体"/>
          <w:sz w:val="24"/>
        </w:rPr>
        <w:t>表4.0.9</w:t>
      </w:r>
      <w:r>
        <w:rPr>
          <w:rFonts w:hint="eastAsia" w:ascii="宋体" w:hAnsi="宋体"/>
          <w:sz w:val="24"/>
        </w:rPr>
        <w:t>　</w:t>
      </w:r>
      <w:r>
        <w:rPr>
          <w:rFonts w:ascii="宋体" w:hAnsi="宋体"/>
          <w:sz w:val="24"/>
        </w:rPr>
        <w:t>住宅建筑日照标准</w:t>
      </w:r>
    </w:p>
    <w:tbl>
      <w:tblPr>
        <w:tblStyle w:val="5"/>
        <w:tblW w:w="4564" w:type="pct"/>
        <w:tblCellSpacing w:w="0"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288"/>
        <w:gridCol w:w="1525"/>
        <w:gridCol w:w="1415"/>
        <w:gridCol w:w="789"/>
        <w:gridCol w:w="789"/>
        <w:gridCol w:w="1731"/>
      </w:tblGrid>
      <w:tr w14:paraId="760C7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0765A32E">
            <w:pPr>
              <w:jc w:val="center"/>
              <w:rPr>
                <w:szCs w:val="22"/>
              </w:rPr>
            </w:pPr>
            <w:r>
              <w:rPr>
                <w:szCs w:val="22"/>
              </w:rPr>
              <w:t>建筑气候区划</w:t>
            </w:r>
          </w:p>
        </w:tc>
        <w:tc>
          <w:tcPr>
            <w:tcW w:w="1721" w:type="pct"/>
            <w:gridSpan w:val="2"/>
            <w:vAlign w:val="center"/>
          </w:tcPr>
          <w:p w14:paraId="3B616A54">
            <w:pPr>
              <w:jc w:val="center"/>
              <w:rPr>
                <w:szCs w:val="21"/>
              </w:rPr>
            </w:pPr>
            <w:r>
              <w:rPr>
                <w:szCs w:val="21"/>
              </w:rPr>
              <w:t>Ⅰ、Ⅱ、Ⅲ、VII气候区</w:t>
            </w:r>
          </w:p>
        </w:tc>
        <w:tc>
          <w:tcPr>
            <w:tcW w:w="924" w:type="pct"/>
            <w:gridSpan w:val="2"/>
            <w:vAlign w:val="center"/>
          </w:tcPr>
          <w:p w14:paraId="38A73FDF">
            <w:pPr>
              <w:jc w:val="center"/>
              <w:rPr>
                <w:szCs w:val="21"/>
              </w:rPr>
            </w:pPr>
            <w:r>
              <w:rPr>
                <w:szCs w:val="21"/>
              </w:rPr>
              <w:t>Ⅳ气候区</w:t>
            </w:r>
          </w:p>
        </w:tc>
        <w:tc>
          <w:tcPr>
            <w:tcW w:w="1014" w:type="pct"/>
            <w:vAlign w:val="center"/>
          </w:tcPr>
          <w:p w14:paraId="40FF5E5B">
            <w:pPr>
              <w:jc w:val="center"/>
              <w:rPr>
                <w:szCs w:val="21"/>
              </w:rPr>
            </w:pPr>
            <w:r>
              <w:rPr>
                <w:szCs w:val="21"/>
              </w:rPr>
              <w:t>Ⅴ、Ⅵ气候区</w:t>
            </w:r>
          </w:p>
        </w:tc>
      </w:tr>
      <w:tr w14:paraId="247D1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111BBC62">
            <w:pPr>
              <w:jc w:val="center"/>
              <w:rPr>
                <w:szCs w:val="22"/>
              </w:rPr>
            </w:pPr>
            <w:r>
              <w:rPr>
                <w:szCs w:val="22"/>
              </w:rPr>
              <w:t>城区常住人口(万人)</w:t>
            </w:r>
          </w:p>
        </w:tc>
        <w:tc>
          <w:tcPr>
            <w:tcW w:w="893" w:type="pct"/>
            <w:vAlign w:val="center"/>
          </w:tcPr>
          <w:p w14:paraId="2D094448">
            <w:pPr>
              <w:jc w:val="center"/>
              <w:rPr>
                <w:szCs w:val="22"/>
              </w:rPr>
            </w:pPr>
            <w:r>
              <w:rPr>
                <w:szCs w:val="22"/>
              </w:rPr>
              <w:t>≥50</w:t>
            </w:r>
          </w:p>
        </w:tc>
        <w:tc>
          <w:tcPr>
            <w:tcW w:w="829" w:type="pct"/>
            <w:vAlign w:val="center"/>
          </w:tcPr>
          <w:p w14:paraId="42A17BA2">
            <w:pPr>
              <w:jc w:val="center"/>
              <w:rPr>
                <w:szCs w:val="22"/>
              </w:rPr>
            </w:pPr>
            <w:r>
              <w:rPr>
                <w:szCs w:val="22"/>
              </w:rPr>
              <w:t>＜50</w:t>
            </w:r>
          </w:p>
        </w:tc>
        <w:tc>
          <w:tcPr>
            <w:tcW w:w="462" w:type="pct"/>
            <w:vAlign w:val="center"/>
          </w:tcPr>
          <w:p w14:paraId="14B6C9E0">
            <w:pPr>
              <w:jc w:val="center"/>
              <w:rPr>
                <w:szCs w:val="22"/>
              </w:rPr>
            </w:pPr>
            <w:r>
              <w:rPr>
                <w:szCs w:val="22"/>
              </w:rPr>
              <w:t>≥50</w:t>
            </w:r>
          </w:p>
        </w:tc>
        <w:tc>
          <w:tcPr>
            <w:tcW w:w="462" w:type="pct"/>
            <w:vAlign w:val="center"/>
          </w:tcPr>
          <w:p w14:paraId="71FACC6F">
            <w:pPr>
              <w:jc w:val="center"/>
              <w:rPr>
                <w:szCs w:val="21"/>
              </w:rPr>
            </w:pPr>
            <w:r>
              <w:rPr>
                <w:szCs w:val="21"/>
              </w:rPr>
              <w:t>＜50</w:t>
            </w:r>
          </w:p>
        </w:tc>
        <w:tc>
          <w:tcPr>
            <w:tcW w:w="1014" w:type="pct"/>
            <w:vAlign w:val="center"/>
          </w:tcPr>
          <w:p w14:paraId="2F16582D">
            <w:pPr>
              <w:jc w:val="center"/>
              <w:rPr>
                <w:szCs w:val="22"/>
              </w:rPr>
            </w:pPr>
            <w:r>
              <w:rPr>
                <w:szCs w:val="22"/>
              </w:rPr>
              <w:t>无限定</w:t>
            </w:r>
          </w:p>
        </w:tc>
      </w:tr>
      <w:tr w14:paraId="05236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70B4A070">
            <w:pPr>
              <w:jc w:val="center"/>
              <w:rPr>
                <w:szCs w:val="21"/>
              </w:rPr>
            </w:pPr>
            <w:r>
              <w:rPr>
                <w:szCs w:val="22"/>
              </w:rPr>
              <w:t>日照标准日</w:t>
            </w:r>
          </w:p>
        </w:tc>
        <w:tc>
          <w:tcPr>
            <w:tcW w:w="2183" w:type="pct"/>
            <w:gridSpan w:val="3"/>
            <w:vAlign w:val="center"/>
          </w:tcPr>
          <w:p w14:paraId="00917406">
            <w:pPr>
              <w:jc w:val="center"/>
              <w:rPr>
                <w:szCs w:val="22"/>
              </w:rPr>
            </w:pPr>
            <w:r>
              <w:rPr>
                <w:szCs w:val="22"/>
              </w:rPr>
              <w:t>大寒日</w:t>
            </w:r>
          </w:p>
        </w:tc>
        <w:tc>
          <w:tcPr>
            <w:tcW w:w="1477" w:type="pct"/>
            <w:gridSpan w:val="2"/>
            <w:vAlign w:val="center"/>
          </w:tcPr>
          <w:p w14:paraId="47DCEB80">
            <w:pPr>
              <w:jc w:val="center"/>
              <w:rPr>
                <w:szCs w:val="22"/>
              </w:rPr>
            </w:pPr>
            <w:r>
              <w:rPr>
                <w:szCs w:val="22"/>
              </w:rPr>
              <w:t>冬至日</w:t>
            </w:r>
          </w:p>
        </w:tc>
      </w:tr>
      <w:tr w14:paraId="68BC9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755EC928">
            <w:pPr>
              <w:jc w:val="center"/>
              <w:rPr>
                <w:szCs w:val="21"/>
              </w:rPr>
            </w:pPr>
            <w:r>
              <w:rPr>
                <w:szCs w:val="22"/>
              </w:rPr>
              <w:t>日照时数</w:t>
            </w:r>
            <w:r>
              <w:rPr>
                <w:szCs w:val="21"/>
              </w:rPr>
              <w:t>(h)</w:t>
            </w:r>
          </w:p>
        </w:tc>
        <w:tc>
          <w:tcPr>
            <w:tcW w:w="893" w:type="pct"/>
            <w:vAlign w:val="center"/>
          </w:tcPr>
          <w:p w14:paraId="3377814E">
            <w:pPr>
              <w:jc w:val="center"/>
              <w:rPr>
                <w:szCs w:val="21"/>
              </w:rPr>
            </w:pPr>
            <w:r>
              <w:rPr>
                <w:szCs w:val="21"/>
              </w:rPr>
              <w:t>≥2</w:t>
            </w:r>
          </w:p>
        </w:tc>
        <w:tc>
          <w:tcPr>
            <w:tcW w:w="1291" w:type="pct"/>
            <w:gridSpan w:val="2"/>
            <w:vAlign w:val="center"/>
          </w:tcPr>
          <w:p w14:paraId="4F5B9896">
            <w:pPr>
              <w:jc w:val="center"/>
              <w:rPr>
                <w:szCs w:val="22"/>
              </w:rPr>
            </w:pPr>
            <w:r>
              <w:rPr>
                <w:szCs w:val="22"/>
              </w:rPr>
              <w:t>≥3</w:t>
            </w:r>
          </w:p>
        </w:tc>
        <w:tc>
          <w:tcPr>
            <w:tcW w:w="1477" w:type="pct"/>
            <w:gridSpan w:val="2"/>
            <w:vAlign w:val="center"/>
          </w:tcPr>
          <w:p w14:paraId="7C1BD9AB">
            <w:pPr>
              <w:jc w:val="center"/>
              <w:rPr>
                <w:szCs w:val="22"/>
              </w:rPr>
            </w:pPr>
            <w:r>
              <w:rPr>
                <w:szCs w:val="22"/>
              </w:rPr>
              <w:t>≥1</w:t>
            </w:r>
          </w:p>
        </w:tc>
      </w:tr>
      <w:tr w14:paraId="405F9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4" w:hRule="atLeast"/>
          <w:tblCellSpacing w:w="0" w:type="dxa"/>
        </w:trPr>
        <w:tc>
          <w:tcPr>
            <w:tcW w:w="1340" w:type="pct"/>
          </w:tcPr>
          <w:p w14:paraId="7D8E40FD">
            <w:pPr>
              <w:jc w:val="center"/>
              <w:rPr>
                <w:szCs w:val="21"/>
              </w:rPr>
            </w:pPr>
            <w:r>
              <w:rPr>
                <w:szCs w:val="21"/>
              </w:rPr>
              <w:t>有效日照时间带</w:t>
            </w:r>
          </w:p>
          <w:p w14:paraId="4C930A40">
            <w:pPr>
              <w:jc w:val="center"/>
              <w:rPr>
                <w:szCs w:val="21"/>
              </w:rPr>
            </w:pPr>
            <w:r>
              <w:rPr>
                <w:szCs w:val="21"/>
              </w:rPr>
              <w:t>(当地真太阳时)</w:t>
            </w:r>
          </w:p>
        </w:tc>
        <w:tc>
          <w:tcPr>
            <w:tcW w:w="2183" w:type="pct"/>
            <w:gridSpan w:val="3"/>
            <w:vAlign w:val="center"/>
          </w:tcPr>
          <w:p w14:paraId="7FC6899E">
            <w:pPr>
              <w:jc w:val="center"/>
              <w:rPr>
                <w:szCs w:val="21"/>
              </w:rPr>
            </w:pPr>
            <w:r>
              <w:rPr>
                <w:szCs w:val="21"/>
              </w:rPr>
              <w:t>8时～16时</w:t>
            </w:r>
          </w:p>
        </w:tc>
        <w:tc>
          <w:tcPr>
            <w:tcW w:w="1477" w:type="pct"/>
            <w:gridSpan w:val="2"/>
            <w:vAlign w:val="center"/>
          </w:tcPr>
          <w:p w14:paraId="6E1357E4">
            <w:pPr>
              <w:jc w:val="center"/>
              <w:rPr>
                <w:szCs w:val="21"/>
              </w:rPr>
            </w:pPr>
            <w:r>
              <w:rPr>
                <w:szCs w:val="21"/>
              </w:rPr>
              <w:t>9时～15时</w:t>
            </w:r>
          </w:p>
        </w:tc>
      </w:tr>
      <w:tr w14:paraId="20567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73AD9674">
            <w:pPr>
              <w:jc w:val="center"/>
              <w:rPr>
                <w:szCs w:val="21"/>
              </w:rPr>
            </w:pPr>
            <w:r>
              <w:rPr>
                <w:szCs w:val="21"/>
              </w:rPr>
              <w:t>计算起点</w:t>
            </w:r>
          </w:p>
        </w:tc>
        <w:tc>
          <w:tcPr>
            <w:tcW w:w="3660" w:type="pct"/>
            <w:gridSpan w:val="5"/>
            <w:vAlign w:val="center"/>
          </w:tcPr>
          <w:p w14:paraId="559ED6D2">
            <w:pPr>
              <w:jc w:val="center"/>
              <w:rPr>
                <w:szCs w:val="22"/>
              </w:rPr>
            </w:pPr>
            <w:r>
              <w:rPr>
                <w:szCs w:val="22"/>
              </w:rPr>
              <w:t>底层窗台面</w:t>
            </w:r>
          </w:p>
        </w:tc>
      </w:tr>
    </w:tbl>
    <w:p w14:paraId="42ABA2B6">
      <w:pPr>
        <w:spacing w:line="440" w:lineRule="exact"/>
        <w:ind w:firstLine="360" w:firstLineChars="200"/>
        <w:rPr>
          <w:sz w:val="18"/>
          <w:szCs w:val="18"/>
        </w:rPr>
      </w:pPr>
      <w:r>
        <w:rPr>
          <w:rFonts w:hint="eastAsia" w:ascii="宋体" w:hAnsi="宋体"/>
          <w:sz w:val="18"/>
          <w:szCs w:val="18"/>
        </w:rPr>
        <w:t>注：</w:t>
      </w:r>
      <w:r>
        <w:rPr>
          <w:rFonts w:hint="eastAsia" w:ascii="宋体" w:hAnsi="宋体" w:cs="宋体"/>
          <w:sz w:val="18"/>
          <w:szCs w:val="18"/>
        </w:rPr>
        <w:t>①</w:t>
      </w:r>
      <w:r>
        <w:rPr>
          <w:sz w:val="18"/>
          <w:szCs w:val="18"/>
        </w:rPr>
        <w:t>建筑气候区划分应符合本规范附录A第A.0.1条规定。</w:t>
      </w:r>
      <w:r>
        <w:rPr>
          <w:rFonts w:hint="eastAsia" w:ascii="宋体" w:hAnsi="宋体" w:cs="宋体"/>
          <w:sz w:val="18"/>
          <w:szCs w:val="18"/>
        </w:rPr>
        <w:t>②</w:t>
      </w:r>
      <w:r>
        <w:rPr>
          <w:sz w:val="18"/>
          <w:szCs w:val="18"/>
        </w:rPr>
        <w:t>底层窗台面是指距室内地平0.9m高的外墙位置。</w:t>
      </w:r>
    </w:p>
    <w:p w14:paraId="7C580B8D">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14:paraId="22E853CD">
      <w:pPr>
        <w:pStyle w:val="2"/>
        <w:spacing w:line="360" w:lineRule="auto"/>
        <w:ind w:left="420" w:leftChars="200"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14:paraId="50C173F4">
      <w:pPr>
        <w:pStyle w:val="2"/>
        <w:spacing w:line="360" w:lineRule="auto"/>
        <w:ind w:left="420" w:leftChars="200"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14:paraId="47554CD3">
      <w:pPr>
        <w:spacing w:before="156" w:beforeLines="50" w:line="440" w:lineRule="exact"/>
        <w:rPr>
          <w:rFonts w:ascii="黑体" w:hAnsi="宋体" w:eastAsia="黑体"/>
          <w:sz w:val="24"/>
          <w:szCs w:val="24"/>
        </w:rPr>
      </w:pPr>
      <w:r>
        <w:rPr>
          <w:rFonts w:hint="eastAsia" w:ascii="黑体" w:hAnsi="宋体" w:eastAsia="黑体"/>
          <w:sz w:val="24"/>
          <w:szCs w:val="24"/>
        </w:rPr>
        <w:t>4.3《民用建筑设计统一标准》GB 50352-2019</w:t>
      </w:r>
    </w:p>
    <w:p w14:paraId="5838C65E">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4.2.3-4  新建建筑物或构筑物应满足周边建筑物的日照标准；</w:t>
      </w:r>
    </w:p>
    <w:p w14:paraId="267C4F87">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5.1.2-2 建筑间距应符合本标准第7.1节建筑用房天然采光的规定，有日照要求的建筑和场地应符合国家相关日照标准的规定。</w:t>
      </w:r>
    </w:p>
    <w:p w14:paraId="54206DF3">
      <w:pPr>
        <w:pStyle w:val="2"/>
        <w:spacing w:line="240" w:lineRule="auto"/>
        <w:ind w:left="420" w:leftChars="200" w:firstLine="0" w:firstLineChars="0"/>
        <w:rPr>
          <w:rFonts w:ascii="Times New Roman" w:hAnsi="Times New Roman"/>
          <w:sz w:val="20"/>
          <w:szCs w:val="20"/>
        </w:rPr>
      </w:pPr>
      <w:r>
        <w:rPr>
          <w:rFonts w:hint="eastAsia" w:ascii="Times New Roman" w:hAnsi="Times New Roman"/>
          <w:sz w:val="20"/>
          <w:szCs w:val="20"/>
        </w:rPr>
        <w:t>注：建筑和场地日照标准在现行国家标准《城市居住区规划设计标准》GB 50180中有明确规定，住宅、宿舍、托儿所、幼儿园、宿舍、老年人居住建筑、医院病房楼等类型建筑也有相关日照标准，并应执行当地城市规划行政主管部门依照日照标准制定的相关规定。</w:t>
      </w:r>
    </w:p>
    <w:p w14:paraId="732DCEEE">
      <w:pPr>
        <w:pStyle w:val="2"/>
        <w:spacing w:line="360" w:lineRule="auto"/>
        <w:ind w:left="420" w:leftChars="200" w:firstLine="0" w:firstLineChars="0"/>
        <w:rPr>
          <w:rFonts w:hint="eastAsia" w:ascii="Times New Roman" w:hAnsi="Times New Roman"/>
          <w:sz w:val="21"/>
          <w:szCs w:val="20"/>
        </w:rPr>
      </w:pPr>
    </w:p>
    <w:p w14:paraId="0339108C">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556F8FA0">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14:paraId="53DF34CE">
      <w:pPr>
        <w:spacing w:line="440" w:lineRule="exact"/>
        <w:rPr>
          <w:rFonts w:ascii="宋体" w:hAnsi="宋体" w:cs="宋体"/>
          <w:b/>
          <w:bCs/>
          <w:color w:val="000000"/>
          <w:sz w:val="24"/>
          <w:szCs w:val="32"/>
        </w:rPr>
      </w:pPr>
      <w:r>
        <w:rPr>
          <w:rFonts w:hint="eastAsia" w:ascii="宋体" w:hAnsi="宋体" w:cs="宋体"/>
          <w:b/>
          <w:bCs/>
          <w:color w:val="000000"/>
          <w:sz w:val="24"/>
          <w:szCs w:val="32"/>
        </w:rPr>
        <w:t xml:space="preserve">                   2.</w:t>
      </w:r>
    </w:p>
    <w:p w14:paraId="3DE47DB5">
      <w:pPr>
        <w:spacing w:line="440" w:lineRule="exact"/>
        <w:rPr>
          <w:rFonts w:ascii="宋体" w:hAnsi="宋体" w:cs="宋体"/>
          <w:b/>
          <w:bCs/>
          <w:color w:val="000000"/>
          <w:sz w:val="24"/>
          <w:szCs w:val="32"/>
        </w:rPr>
      </w:pPr>
    </w:p>
    <w:p w14:paraId="0EBB1954">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752C80DB">
      <w:pPr>
        <w:spacing w:line="440" w:lineRule="exact"/>
        <w:rPr>
          <w:rFonts w:ascii="宋体" w:hAnsi="宋体" w:cs="宋体"/>
          <w:b/>
          <w:bCs/>
          <w:color w:val="000000"/>
          <w:sz w:val="24"/>
          <w:szCs w:val="32"/>
        </w:rPr>
      </w:pPr>
    </w:p>
    <w:p w14:paraId="4B0285AF">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w:t>
      </w:r>
      <w:r>
        <w:rPr>
          <w:rFonts w:ascii="宋体" w:hAnsi="宋体" w:cs="宋体"/>
          <w:b/>
          <w:bCs/>
          <w:color w:val="000000"/>
          <w:sz w:val="24"/>
          <w:szCs w:val="32"/>
        </w:rPr>
        <w:t>进行分析计算。</w:t>
      </w:r>
    </w:p>
    <w:p w14:paraId="1EC62493">
      <w:pPr>
        <w:spacing w:line="440" w:lineRule="exact"/>
        <w:rPr>
          <w:rFonts w:ascii="宋体" w:hAnsi="宋体" w:cs="宋体"/>
          <w:b/>
          <w:bCs/>
          <w:color w:val="000000"/>
          <w:sz w:val="24"/>
          <w:szCs w:val="32"/>
        </w:rPr>
      </w:pPr>
    </w:p>
    <w:p w14:paraId="38D817BD">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32EE4B94">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733CE8F1">
      <w:pPr>
        <w:spacing w:line="440" w:lineRule="exact"/>
        <w:rPr>
          <w:rFonts w:ascii="宋体" w:hAnsi="宋体" w:cs="宋体"/>
          <w:bCs/>
          <w:color w:val="000000"/>
          <w:sz w:val="24"/>
          <w:szCs w:val="32"/>
        </w:rPr>
      </w:pPr>
    </w:p>
    <w:p w14:paraId="6980AEBA">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57513705">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14:paraId="3BEC1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3518C8B8">
            <w:pPr>
              <w:spacing w:line="440" w:lineRule="exact"/>
              <w:jc w:val="center"/>
              <w:rPr>
                <w:rFonts w:ascii="宋体" w:hAnsi="宋体" w:cs="宋体"/>
                <w:b/>
                <w:bCs/>
                <w:color w:val="000000"/>
                <w:szCs w:val="21"/>
              </w:rPr>
            </w:pPr>
            <w:r>
              <w:rPr>
                <w:rFonts w:hint="eastAsia" w:ascii="宋体" w:hAnsi="宋体" w:cs="宋体"/>
                <w:b/>
                <w:bCs/>
                <w:color w:val="000000"/>
                <w:szCs w:val="21"/>
              </w:rPr>
              <w:t>分析建筑编号</w:t>
            </w:r>
          </w:p>
        </w:tc>
        <w:tc>
          <w:tcPr>
            <w:tcW w:w="4016" w:type="dxa"/>
          </w:tcPr>
          <w:p w14:paraId="6C2452BD">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14:paraId="5E225B1C">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14:paraId="3BEB7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5E3E615B">
            <w:pPr>
              <w:spacing w:line="440" w:lineRule="exact"/>
              <w:jc w:val="center"/>
              <w:rPr>
                <w:rFonts w:ascii="宋体" w:hAnsi="宋体" w:cs="宋体"/>
                <w:bCs/>
                <w:color w:val="000000"/>
                <w:szCs w:val="21"/>
              </w:rPr>
            </w:pPr>
          </w:p>
        </w:tc>
        <w:tc>
          <w:tcPr>
            <w:tcW w:w="4016" w:type="dxa"/>
          </w:tcPr>
          <w:p w14:paraId="2600B167">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4BA556C5">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14:paraId="3A6A3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6F3FA281">
            <w:pPr>
              <w:spacing w:line="440" w:lineRule="exact"/>
              <w:jc w:val="center"/>
              <w:rPr>
                <w:rFonts w:ascii="宋体" w:hAnsi="宋体" w:cs="宋体"/>
                <w:bCs/>
                <w:color w:val="000000"/>
                <w:szCs w:val="21"/>
              </w:rPr>
            </w:pPr>
          </w:p>
        </w:tc>
        <w:tc>
          <w:tcPr>
            <w:tcW w:w="4016" w:type="dxa"/>
          </w:tcPr>
          <w:p w14:paraId="2675FD56">
            <w:pPr>
              <w:spacing w:line="440" w:lineRule="exact"/>
              <w:jc w:val="center"/>
              <w:rPr>
                <w:rFonts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57A7494B">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14:paraId="23E3D5B1">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14:paraId="19C2CEE4">
      <w:pPr>
        <w:spacing w:line="440" w:lineRule="exact"/>
        <w:rPr>
          <w:rFonts w:ascii="宋体" w:hAnsi="宋体" w:cs="宋体"/>
          <w:b/>
          <w:bCs/>
          <w:color w:val="000000"/>
          <w:sz w:val="24"/>
          <w:szCs w:val="32"/>
        </w:rPr>
      </w:pPr>
      <w:r>
        <w:rPr>
          <w:rFonts w:ascii="宋体" w:hAnsi="宋体" w:cs="宋体"/>
          <w:b/>
          <w:bCs/>
          <w:color w:val="000000"/>
          <w:sz w:val="24"/>
          <w:szCs w:val="32"/>
        </w:rPr>
        <w:t>附 表：  共    页</w:t>
      </w:r>
    </w:p>
    <w:p w14:paraId="2FB52013">
      <w:r>
        <w:rPr>
          <w:color w:val="000000"/>
          <w:lang w:val="zh-CN"/>
        </w:rPr>
        <w:t>遮挡关系表</w:t>
      </w:r>
    </w:p>
    <w:tbl>
      <w:tblPr>
        <w:tblStyle w:val="5"/>
        <w:tblW w:w="93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20"/>
        <w:gridCol w:w="6440"/>
      </w:tblGrid>
      <w:tr w14:paraId="1416F3EC">
        <w:tblPrEx>
          <w:tblCellMar>
            <w:top w:w="0" w:type="dxa"/>
            <w:left w:w="108" w:type="dxa"/>
            <w:bottom w:w="0" w:type="dxa"/>
            <w:right w:w="108" w:type="dxa"/>
          </w:tblCellMar>
        </w:tblPrEx>
        <w:tc>
          <w:tcPr>
            <w:vAlign w:val="center"/>
          </w:tcPr>
          <w:p w14:paraId="3DCC63C6">
            <w:pPr>
              <w:rPr>
                <w:sz w:val="22"/>
                <w:szCs w:val="22"/>
              </w:rPr>
            </w:pPr>
            <w:r>
              <w:rPr>
                <w:sz w:val="22"/>
                <w:szCs w:val="22"/>
              </w:rPr>
              <w:t>被遮挡建筑</w:t>
            </w:r>
          </w:p>
        </w:tc>
        <w:tc>
          <w:tcPr>
            <w:vAlign w:val="center"/>
          </w:tcPr>
          <w:p w14:paraId="668CD035">
            <w:pPr>
              <w:rPr>
                <w:sz w:val="22"/>
                <w:szCs w:val="22"/>
              </w:rPr>
            </w:pPr>
            <w:r>
              <w:rPr>
                <w:sz w:val="22"/>
                <w:szCs w:val="22"/>
              </w:rPr>
              <w:t>遮挡物建筑</w:t>
            </w:r>
          </w:p>
        </w:tc>
      </w:tr>
      <w:tr w14:paraId="4D701C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9CC4A02">
            <w:pPr>
              <w:rPr>
                <w:sz w:val="22"/>
                <w:szCs w:val="22"/>
              </w:rPr>
            </w:pPr>
            <w:r>
              <w:rPr>
                <w:sz w:val="22"/>
                <w:szCs w:val="22"/>
              </w:rPr>
              <w:t>1226东道10号DANTIDWG</w:t>
            </w:r>
          </w:p>
        </w:tc>
        <w:tc>
          <w:tcPr>
            <w:vAlign w:val="center"/>
          </w:tcPr>
          <w:p w14:paraId="5158B66C">
            <w:pPr>
              <w:rPr>
                <w:sz w:val="22"/>
                <w:szCs w:val="22"/>
              </w:rPr>
            </w:pPr>
            <w:r>
              <w:rPr>
                <w:sz w:val="22"/>
                <w:szCs w:val="22"/>
              </w:rPr>
              <w:t>其他建筑</w:t>
            </w:r>
          </w:p>
        </w:tc>
      </w:tr>
    </w:tbl>
    <w:p w14:paraId="6D1C5060">
      <w:pPr>
        <w:spacing w:line="360" w:lineRule="auto"/>
        <w:rPr>
          <w:rFonts w:ascii="宋体" w:hAnsi="宋体"/>
          <w:sz w:val="22"/>
        </w:rPr>
      </w:pPr>
      <w:bookmarkStart w:id="27" w:name="窗照分析表"/>
      <w:bookmarkEnd w:id="27"/>
      <w:bookmarkStart w:id="28" w:name="ANALYSE_TABLE"/>
      <w:bookmarkEnd w:id="28"/>
    </w:p>
    <w:p w14:paraId="7E5E34D4">
      <w:pPr>
        <w:spacing w:line="360" w:lineRule="auto"/>
        <w:rPr>
          <w:rFonts w:ascii="宋体" w:hAnsi="宋体"/>
          <w:sz w:val="22"/>
        </w:rPr>
      </w:pPr>
      <w:r>
        <w:rPr>
          <w:rFonts w:hint="eastAsia" w:ascii="宋体" w:hAnsi="宋体"/>
          <w:sz w:val="22"/>
        </w:rPr>
        <w:t>注 释：</w:t>
      </w:r>
    </w:p>
    <w:p w14:paraId="7CADCCD3">
      <w:pPr>
        <w:numPr>
          <w:ilvl w:val="0"/>
          <w:numId w:val="2"/>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6C214281">
      <w:pPr>
        <w:numPr>
          <w:ilvl w:val="0"/>
          <w:numId w:val="2"/>
        </w:numPr>
        <w:spacing w:before="48" w:beforeLines="20" w:line="360" w:lineRule="auto"/>
        <w:ind w:left="284" w:hanging="284"/>
        <w:rPr>
          <w:rFonts w:ascii="宋体" w:hAnsi="宋体"/>
          <w:sz w:val="22"/>
        </w:rPr>
      </w:pPr>
      <w:r>
        <w:rPr>
          <w:rFonts w:ascii="宋体" w:hAnsi="宋体"/>
          <w:sz w:val="22"/>
        </w:rPr>
        <w:t>不满足日照标准的窗户用灰色底纹标示。</w:t>
      </w:r>
    </w:p>
    <w:p w14:paraId="6DD55224">
      <w:pPr>
        <w:numPr>
          <w:ilvl w:val="0"/>
          <w:numId w:val="2"/>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609AA5BB">
      <w:pPr>
        <w:numPr>
          <w:ilvl w:val="0"/>
          <w:numId w:val="2"/>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763606CC">
      <w:pPr>
        <w:numPr>
          <w:ilvl w:val="0"/>
          <w:numId w:val="2"/>
        </w:numPr>
        <w:spacing w:before="48"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19177DCB">
      <w:pPr>
        <w:spacing w:before="48" w:beforeLines="20" w:line="360" w:lineRule="auto"/>
        <w:rPr>
          <w:rFonts w:ascii="宋体" w:hAnsi="宋体"/>
          <w:sz w:val="22"/>
        </w:rPr>
      </w:pPr>
    </w:p>
    <w:p w14:paraId="154E3C95">
      <w:pPr>
        <w:spacing w:line="360" w:lineRule="auto"/>
        <w:rPr>
          <w:rFonts w:ascii="宋体" w:hAnsi="宋体"/>
          <w:b/>
          <w:sz w:val="24"/>
        </w:rPr>
      </w:pPr>
      <w:r>
        <w:rPr>
          <w:rFonts w:ascii="宋体" w:hAnsi="宋体"/>
          <w:b/>
          <w:sz w:val="24"/>
        </w:rPr>
        <w:t>九、附图</w:t>
      </w:r>
    </w:p>
    <w:p w14:paraId="3A59DCF3">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14:paraId="0310388F">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14:paraId="6524DA1D">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14:paraId="04609E6A">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14:paraId="7C1BE3D0">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14:paraId="686099A5">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14:paraId="7D6E1F00">
      <w:pPr>
        <w:spacing w:line="360" w:lineRule="auto"/>
        <w:rPr>
          <w:rFonts w:ascii="宋体" w:hAnsi="宋体"/>
          <w:sz w:val="24"/>
        </w:rPr>
      </w:pPr>
    </w:p>
    <w:p w14:paraId="6615A729">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14:paraId="37F65817">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5E590">
    <w:pPr>
      <w:pStyle w:val="3"/>
      <w:jc w:val="right"/>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2" name="矩形 4"/>
              <wp:cNvGraphicFramePr/>
              <a:graphic xmlns:a="http://schemas.openxmlformats.org/drawingml/2006/main">
                <a:graphicData uri="http://schemas.microsoft.com/office/word/2010/wordprocessingShape">
                  <wps:wsp>
                    <wps:cNvSpPr/>
                    <wps:spPr>
                      <a:xfrm>
                        <a:off x="0" y="0"/>
                        <a:ext cx="1257300" cy="198120"/>
                      </a:xfrm>
                      <a:prstGeom prst="rect">
                        <a:avLst/>
                      </a:prstGeom>
                      <a:noFill/>
                      <a:ln>
                        <a:noFill/>
                      </a:ln>
                    </wps:spPr>
                    <wps:txbx>
                      <w:txbxContent>
                        <w:p w14:paraId="3BFCFAF9">
                          <w:pPr>
                            <w:rPr>
                              <w:sz w:val="18"/>
                            </w:rPr>
                          </w:pPr>
                          <w:r>
                            <w:rPr>
                              <w:rFonts w:hint="eastAsia"/>
                              <w:sz w:val="18"/>
                            </w:rPr>
                            <w:t>【绿建软件 版权所有】</w:t>
                          </w:r>
                        </w:p>
                      </w:txbxContent>
                    </wps:txbx>
                    <wps:bodyPr lIns="0" tIns="0" rIns="0" bIns="0" upright="1"/>
                  </wps:wsp>
                </a:graphicData>
              </a:graphic>
            </wp:anchor>
          </w:drawing>
        </mc:Choice>
        <mc:Fallback>
          <w:pict>
            <v:rect id="矩形 4" o:spid="_x0000_s1026" o:spt="1" style="position:absolute;left:0pt;margin-left:0pt;margin-top:1.15pt;height:15.6pt;width:99pt;z-index:25165926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F0K+W&#10;1gAAAAUBAAAPAAAAAAAAAAEAIAAAACIAAABkcnMvZG93bnJldi54bWxQSwECFAAUAAAACACHTuJA&#10;+/3smbEBAABlAwAADgAAAAAAAAABACAAAAAlAQAAZHJzL2Uyb0RvYy54bWxQSwUGAAAAAAYABgBZ&#10;AQAASAUAAAAA&#10;">
              <v:fill on="f" focussize="0,0"/>
              <v:stroke on="f"/>
              <v:imagedata o:title=""/>
              <o:lock v:ext="edit" aspectratio="f"/>
              <v:textbox inset="0mm,0mm,0mm,0mm">
                <w:txbxContent>
                  <w:p w14:paraId="3BFCFAF9">
                    <w:pPr>
                      <w:rPr>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4B6EF">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12451EE3">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AD107">
    <w:pPr>
      <w:pStyle w:val="4"/>
      <w:tabs>
        <w:tab w:val="right" w:pos="9214"/>
        <w:tab w:val="clear" w:pos="8306"/>
      </w:tabs>
      <w:ind w:right="-1"/>
      <w:jc w:val="both"/>
      <w:rPr>
        <w:sz w:val="21"/>
        <w:szCs w:val="21"/>
      </w:rPr>
    </w:pPr>
    <w:r>
      <w:rPr>
        <w:sz w:val="21"/>
        <w:szCs w:val="21"/>
      </w:rPr>
      <w:drawing>
        <wp:anchor distT="0" distB="0" distL="114300" distR="114300" simplePos="0" relativeHeight="251659264" behindDoc="0" locked="0" layoutInCell="1" allowOverlap="1">
          <wp:simplePos x="0" y="0"/>
          <wp:positionH relativeFrom="column">
            <wp:posOffset>4728845</wp:posOffset>
          </wp:positionH>
          <wp:positionV relativeFrom="paragraph">
            <wp:posOffset>-156845</wp:posOffset>
          </wp:positionV>
          <wp:extent cx="1126490" cy="295275"/>
          <wp:effectExtent l="0" t="0" r="1270" b="9525"/>
          <wp:wrapSquare wrapText="bothSides"/>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C26FC3"/>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 w:val="6CC26F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3"/>
    <w:uiPriority w:val="0"/>
    <w:pPr>
      <w:spacing w:line="440" w:lineRule="exact"/>
      <w:ind w:firstLine="480" w:firstLineChars="200"/>
    </w:pPr>
    <w:rPr>
      <w:rFonts w:ascii="宋体" w:hAnsi="宋体"/>
      <w:sz w:val="24"/>
      <w:szCs w:val="24"/>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uiPriority w:val="0"/>
  </w:style>
  <w:style w:type="paragraph" w:customStyle="1" w:styleId="9">
    <w:name w:val="日照表"/>
    <w:basedOn w:val="1"/>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autoRedefine/>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uiPriority w:val="0"/>
    <w:pPr>
      <w:shd w:val="clear" w:color="auto" w:fill="CCCCCC"/>
    </w:pPr>
  </w:style>
  <w:style w:type="paragraph" w:customStyle="1" w:styleId="12">
    <w:name w:val="25灰表"/>
    <w:basedOn w:val="10"/>
    <w:uiPriority w:val="0"/>
    <w:pPr>
      <w:shd w:val="clear" w:color="auto" w:fill="C0C0C0"/>
    </w:pPr>
  </w:style>
  <w:style w:type="character" w:customStyle="1" w:styleId="13">
    <w:name w:val="正文文本缩进 字符"/>
    <w:link w:val="2"/>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tmp3.dotx</Template>
  <Pages>5</Pages>
  <Words>1767</Words>
  <Characters>1911</Characters>
  <Lines>18</Lines>
  <Paragraphs>5</Paragraphs>
  <TotalTime>65</TotalTime>
  <ScaleCrop>false</ScaleCrop>
  <LinksUpToDate>false</LinksUpToDate>
  <CharactersWithSpaces>2483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2025-03-12T02:59:00Z</dcterms:created>
  <dc:creator>苏璃与易。</dc:creator>
  <cp:lastModifiedBy>苏璃与易。</cp:lastModifiedBy>
  <dcterms:modified xsi:type="dcterms:W3CDTF">2025-03-12T03:00:34Z</dcterms:modified>
  <dc:title>通用日照分析报告模板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6963C4EE5F2C443FA09B3D10D2357127_11</vt:lpwstr>
  </property>
  <property fmtid="{D5CDD505-2E9C-101B-9397-08002B2CF9AE}" pid="3" name="KSOProductBuildVer">
    <vt:lpwstr>2052-12.1.0.20305</vt:lpwstr>
  </property>
</Properties>
</file>