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EFF68B">
      <w:pPr>
        <w:spacing w:before="312" w:beforeLines="100" w:line="180" w:lineRule="atLeast"/>
        <w:jc w:val="center"/>
        <w:rPr>
          <w:rFonts w:ascii="黑体" w:hAnsi="宋体" w:eastAsia="黑体"/>
          <w:b/>
          <w:bCs/>
          <w:sz w:val="72"/>
          <w:szCs w:val="72"/>
        </w:rPr>
      </w:pPr>
      <w:bookmarkStart w:id="55" w:name="_GoBack"/>
      <w:bookmarkEnd w:id="55"/>
    </w:p>
    <w:p w14:paraId="51A1C139">
      <w:pPr>
        <w:spacing w:before="312" w:beforeLines="100" w:line="180" w:lineRule="atLeast"/>
        <w:jc w:val="center"/>
        <w:rPr>
          <w:rFonts w:ascii="黑体" w:hAnsi="宋体" w:eastAsia="黑体"/>
          <w:b/>
          <w:bCs/>
          <w:kern w:val="0"/>
          <w:sz w:val="72"/>
          <w:szCs w:val="72"/>
          <w:lang w:val="en-GB"/>
        </w:rPr>
      </w:pPr>
      <w:r>
        <w:rPr>
          <w:rFonts w:hint="eastAsia" w:ascii="黑体" w:hAnsi="宋体" w:eastAsia="黑体"/>
          <w:b/>
          <w:bCs/>
          <w:sz w:val="72"/>
          <w:szCs w:val="72"/>
        </w:rPr>
        <w:t>室外</w:t>
      </w:r>
      <w:r>
        <w:rPr>
          <w:rFonts w:ascii="黑体" w:hAnsi="宋体" w:eastAsia="黑体"/>
          <w:b/>
          <w:bCs/>
          <w:sz w:val="72"/>
          <w:szCs w:val="72"/>
        </w:rPr>
        <w:t>噪声</w:t>
      </w:r>
      <w:r>
        <w:rPr>
          <w:rFonts w:hint="eastAsia" w:ascii="黑体" w:hAnsi="宋体" w:eastAsia="黑体"/>
          <w:b/>
          <w:bCs/>
          <w:sz w:val="72"/>
          <w:szCs w:val="72"/>
        </w:rPr>
        <w:t>报告书</w:t>
      </w:r>
    </w:p>
    <w:p w14:paraId="457E85D1">
      <w:pPr>
        <w:spacing w:before="312" w:beforeLines="100" w:line="180" w:lineRule="atLeast"/>
        <w:rPr>
          <w:rFonts w:ascii="宋体" w:hAnsi="宋体"/>
          <w:bCs/>
          <w:sz w:val="44"/>
          <w:szCs w:val="44"/>
        </w:rPr>
      </w:pPr>
    </w:p>
    <w:p w14:paraId="21E08229">
      <w:pPr>
        <w:spacing w:line="180" w:lineRule="exact"/>
        <w:jc w:val="center"/>
        <w:rPr>
          <w:rFonts w:ascii="宋体" w:hAnsi="宋体"/>
          <w:b/>
          <w:bCs/>
        </w:rPr>
      </w:pPr>
    </w:p>
    <w:p w14:paraId="3CEE3390">
      <w:pPr>
        <w:spacing w:line="180" w:lineRule="exact"/>
        <w:jc w:val="center"/>
        <w:rPr>
          <w:rFonts w:ascii="宋体" w:hAnsi="宋体"/>
          <w:b/>
          <w:bCs/>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28999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tcPr>
          <w:p w14:paraId="193CFEE5">
            <w:pPr>
              <w:rPr>
                <w:rFonts w:ascii="宋体" w:hAnsi="宋体"/>
              </w:rPr>
            </w:pPr>
            <w:r>
              <w:rPr>
                <w:rFonts w:hint="eastAsia" w:ascii="宋体" w:hAnsi="宋体"/>
              </w:rPr>
              <w:t>工程名称</w:t>
            </w:r>
          </w:p>
        </w:tc>
        <w:tc>
          <w:tcPr>
            <w:tcW w:w="3780" w:type="dxa"/>
            <w:tcBorders>
              <w:top w:val="single" w:color="auto" w:sz="12" w:space="0"/>
              <w:left w:val="single" w:color="auto" w:sz="6" w:space="0"/>
              <w:bottom w:val="single" w:color="auto" w:sz="6" w:space="0"/>
              <w:right w:val="single" w:color="auto" w:sz="12" w:space="0"/>
            </w:tcBorders>
          </w:tcPr>
          <w:p w14:paraId="540B5A07">
            <w:pPr>
              <w:rPr>
                <w:rFonts w:ascii="宋体" w:hAnsi="宋体"/>
              </w:rPr>
            </w:pPr>
            <w:bookmarkStart w:id="0" w:name="工程名称"/>
            <w:r>
              <w:t>新建项目</w:t>
            </w:r>
            <w:bookmarkEnd w:id="0"/>
          </w:p>
        </w:tc>
      </w:tr>
      <w:tr w14:paraId="4A4387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03CA37BA">
            <w:pPr>
              <w:rPr>
                <w:rFonts w:ascii="宋体" w:hAnsi="宋体"/>
              </w:rPr>
            </w:pPr>
            <w:r>
              <w:rPr>
                <w:rFonts w:hint="eastAsia" w:ascii="宋体" w:hAnsi="宋体"/>
              </w:rPr>
              <w:t>设计编号</w:t>
            </w:r>
          </w:p>
        </w:tc>
        <w:tc>
          <w:tcPr>
            <w:tcW w:w="3780" w:type="dxa"/>
            <w:tcBorders>
              <w:top w:val="single" w:color="auto" w:sz="6" w:space="0"/>
              <w:left w:val="single" w:color="auto" w:sz="6" w:space="0"/>
              <w:bottom w:val="single" w:color="auto" w:sz="6" w:space="0"/>
              <w:right w:val="single" w:color="auto" w:sz="12" w:space="0"/>
            </w:tcBorders>
          </w:tcPr>
          <w:p w14:paraId="7FC88281">
            <w:pPr>
              <w:rPr>
                <w:rFonts w:ascii="宋体" w:hAnsi="宋体"/>
              </w:rPr>
            </w:pPr>
            <w:bookmarkStart w:id="1" w:name="设计编号"/>
            <w:bookmarkEnd w:id="1"/>
          </w:p>
        </w:tc>
      </w:tr>
      <w:tr w14:paraId="0EF58B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1BC33D23">
            <w:pPr>
              <w:rPr>
                <w:rFonts w:ascii="宋体" w:hAnsi="宋体"/>
              </w:rPr>
            </w:pPr>
            <w:r>
              <w:rPr>
                <w:rFonts w:hint="eastAsia" w:ascii="宋体" w:hAnsi="宋体"/>
              </w:rPr>
              <w:t>建设单位</w:t>
            </w:r>
          </w:p>
        </w:tc>
        <w:tc>
          <w:tcPr>
            <w:tcW w:w="3780" w:type="dxa"/>
            <w:tcBorders>
              <w:top w:val="single" w:color="auto" w:sz="6" w:space="0"/>
              <w:left w:val="single" w:color="auto" w:sz="6" w:space="0"/>
              <w:bottom w:val="single" w:color="auto" w:sz="6" w:space="0"/>
              <w:right w:val="single" w:color="auto" w:sz="12" w:space="0"/>
            </w:tcBorders>
          </w:tcPr>
          <w:p w14:paraId="2C0D229C">
            <w:pPr>
              <w:rPr>
                <w:rFonts w:ascii="宋体" w:hAnsi="宋体"/>
              </w:rPr>
            </w:pPr>
            <w:bookmarkStart w:id="2" w:name="建设单位"/>
            <w:bookmarkEnd w:id="2"/>
          </w:p>
        </w:tc>
      </w:tr>
      <w:tr w14:paraId="03CB82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7CFC0685">
            <w:pPr>
              <w:rPr>
                <w:rFonts w:ascii="宋体" w:hAnsi="宋体"/>
              </w:rPr>
            </w:pPr>
            <w:r>
              <w:rPr>
                <w:rFonts w:hint="eastAsia" w:ascii="宋体" w:hAnsi="宋体"/>
              </w:rPr>
              <w:t>设计单位</w:t>
            </w:r>
          </w:p>
        </w:tc>
        <w:tc>
          <w:tcPr>
            <w:tcW w:w="3780" w:type="dxa"/>
            <w:tcBorders>
              <w:top w:val="single" w:color="auto" w:sz="6" w:space="0"/>
              <w:left w:val="single" w:color="auto" w:sz="6" w:space="0"/>
              <w:bottom w:val="single" w:color="auto" w:sz="6" w:space="0"/>
              <w:right w:val="single" w:color="auto" w:sz="12" w:space="0"/>
            </w:tcBorders>
          </w:tcPr>
          <w:p w14:paraId="6B930FA1">
            <w:pPr>
              <w:rPr>
                <w:rFonts w:ascii="宋体" w:hAnsi="宋体"/>
              </w:rPr>
            </w:pPr>
            <w:bookmarkStart w:id="3" w:name="设计单位"/>
            <w:bookmarkEnd w:id="3"/>
          </w:p>
        </w:tc>
      </w:tr>
      <w:tr w14:paraId="6C8A20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3152DD0D">
            <w:pPr>
              <w:rPr>
                <w:rFonts w:ascii="宋体" w:hAnsi="宋体"/>
              </w:rPr>
            </w:pPr>
            <w:r>
              <w:rPr>
                <w:rFonts w:hint="eastAsia" w:ascii="宋体" w:hAnsi="宋体"/>
              </w:rPr>
              <w:t>设 计 人</w:t>
            </w:r>
          </w:p>
        </w:tc>
        <w:tc>
          <w:tcPr>
            <w:tcW w:w="3780" w:type="dxa"/>
            <w:tcBorders>
              <w:top w:val="single" w:color="auto" w:sz="6" w:space="0"/>
              <w:left w:val="single" w:color="auto" w:sz="6" w:space="0"/>
              <w:bottom w:val="single" w:color="auto" w:sz="6" w:space="0"/>
              <w:right w:val="single" w:color="auto" w:sz="12" w:space="0"/>
            </w:tcBorders>
          </w:tcPr>
          <w:p w14:paraId="52F71915">
            <w:pPr>
              <w:rPr>
                <w:rFonts w:ascii="宋体" w:hAnsi="宋体"/>
              </w:rPr>
            </w:pPr>
          </w:p>
        </w:tc>
      </w:tr>
      <w:tr w14:paraId="774163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0A1D3BCD">
            <w:pPr>
              <w:rPr>
                <w:rFonts w:ascii="宋体" w:hAnsi="宋体"/>
              </w:rPr>
            </w:pPr>
            <w:r>
              <w:rPr>
                <w:rFonts w:hint="eastAsia" w:ascii="宋体" w:hAnsi="宋体"/>
              </w:rPr>
              <w:t>审 核 人</w:t>
            </w:r>
          </w:p>
        </w:tc>
        <w:tc>
          <w:tcPr>
            <w:tcW w:w="3780" w:type="dxa"/>
            <w:tcBorders>
              <w:top w:val="single" w:color="auto" w:sz="6" w:space="0"/>
              <w:left w:val="single" w:color="auto" w:sz="6" w:space="0"/>
              <w:bottom w:val="single" w:color="auto" w:sz="6" w:space="0"/>
              <w:right w:val="single" w:color="auto" w:sz="12" w:space="0"/>
            </w:tcBorders>
          </w:tcPr>
          <w:p w14:paraId="1E8BE0F2">
            <w:pPr>
              <w:rPr>
                <w:rFonts w:ascii="宋体" w:hAnsi="宋体"/>
              </w:rPr>
            </w:pPr>
          </w:p>
        </w:tc>
      </w:tr>
      <w:tr w14:paraId="07C001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2296F3EC">
            <w:pPr>
              <w:rPr>
                <w:rFonts w:ascii="宋体" w:hAnsi="宋体"/>
              </w:rPr>
            </w:pPr>
            <w:r>
              <w:rPr>
                <w:rFonts w:hint="eastAsia" w:ascii="宋体" w:hAnsi="宋体"/>
              </w:rPr>
              <w:t>审 定 人</w:t>
            </w:r>
          </w:p>
        </w:tc>
        <w:tc>
          <w:tcPr>
            <w:tcW w:w="3780" w:type="dxa"/>
            <w:tcBorders>
              <w:top w:val="single" w:color="auto" w:sz="6" w:space="0"/>
              <w:left w:val="single" w:color="auto" w:sz="6" w:space="0"/>
              <w:bottom w:val="single" w:color="auto" w:sz="6" w:space="0"/>
              <w:right w:val="single" w:color="auto" w:sz="12" w:space="0"/>
            </w:tcBorders>
          </w:tcPr>
          <w:p w14:paraId="14186AA5">
            <w:pPr>
              <w:rPr>
                <w:rFonts w:ascii="宋体" w:hAnsi="宋体"/>
              </w:rPr>
            </w:pPr>
          </w:p>
        </w:tc>
      </w:tr>
      <w:tr w14:paraId="640101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tcPr>
          <w:p w14:paraId="6C056E5F">
            <w:pPr>
              <w:rPr>
                <w:rFonts w:ascii="宋体" w:hAnsi="宋体"/>
              </w:rPr>
            </w:pPr>
            <w:r>
              <w:rPr>
                <w:rFonts w:hint="eastAsia" w:ascii="宋体" w:hAnsi="宋体"/>
              </w:rPr>
              <w:t>设计日期</w:t>
            </w:r>
          </w:p>
        </w:tc>
        <w:tc>
          <w:tcPr>
            <w:tcW w:w="3780" w:type="dxa"/>
            <w:tcBorders>
              <w:top w:val="single" w:color="auto" w:sz="6" w:space="0"/>
              <w:left w:val="single" w:color="auto" w:sz="6" w:space="0"/>
              <w:bottom w:val="single" w:color="auto" w:sz="12" w:space="0"/>
              <w:right w:val="single" w:color="auto" w:sz="12" w:space="0"/>
            </w:tcBorders>
          </w:tcPr>
          <w:p w14:paraId="2768368A">
            <w:pPr>
              <w:rPr>
                <w:rFonts w:ascii="宋体" w:hAnsi="宋体"/>
              </w:rPr>
            </w:pPr>
          </w:p>
        </w:tc>
      </w:tr>
    </w:tbl>
    <w:p w14:paraId="15AB51BA">
      <w:pPr>
        <w:rPr>
          <w:rFonts w:ascii="宋体" w:hAnsi="宋体"/>
          <w:sz w:val="18"/>
          <w:szCs w:val="20"/>
        </w:rPr>
      </w:pPr>
    </w:p>
    <w:p w14:paraId="60B2085A">
      <w:pPr>
        <w:rPr>
          <w:rFonts w:ascii="宋体" w:hAnsi="宋体"/>
          <w:sz w:val="18"/>
          <w:szCs w:val="20"/>
        </w:rPr>
      </w:pPr>
    </w:p>
    <w:p w14:paraId="686AFF4B">
      <w:pPr>
        <w:jc w:val="center"/>
        <w:rPr>
          <w:rFonts w:ascii="宋体" w:hAnsi="宋体"/>
        </w:rPr>
      </w:pPr>
      <w:bookmarkStart w:id="4" w:name="二维码"/>
      <w:r>
        <w:drawing>
          <wp:inline distT="0" distB="0" distL="0" distR="0">
            <wp:extent cx="1514475" cy="15144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16D2B87B">
      <w:pPr>
        <w:jc w:val="center"/>
        <w:rPr>
          <w:rFonts w:ascii="宋体" w:hAnsi="宋体"/>
        </w:rPr>
      </w:pPr>
    </w:p>
    <w:bookmarkEnd w:id="4"/>
    <w:p w14:paraId="6BD0DF52">
      <w:pPr>
        <w:jc w:val="center"/>
        <w:rPr>
          <w:rFonts w:ascii="宋体" w:hAnsi="宋体"/>
          <w:b/>
          <w:bCs/>
          <w:sz w:val="30"/>
          <w:szCs w:val="32"/>
          <w:lang w:val="en-GB"/>
        </w:rPr>
      </w:pPr>
    </w:p>
    <w:p w14:paraId="7620D70A">
      <w:pPr>
        <w:jc w:val="center"/>
        <w:rPr>
          <w:rFonts w:ascii="宋体" w:hAnsi="宋体"/>
          <w:b/>
          <w:bCs/>
          <w:sz w:val="30"/>
          <w:szCs w:val="32"/>
          <w:lang w:val="en-GB"/>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51EEA2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vAlign w:val="center"/>
          </w:tcPr>
          <w:p w14:paraId="47144F64">
            <w:pPr>
              <w:rPr>
                <w:rFonts w:ascii="宋体" w:hAnsi="宋体"/>
                <w:szCs w:val="18"/>
              </w:rPr>
            </w:pPr>
            <w:r>
              <w:rPr>
                <w:rFonts w:hint="eastAsia" w:ascii="宋体" w:hAnsi="宋体"/>
                <w:szCs w:val="18"/>
              </w:rPr>
              <w:t>采用软件</w:t>
            </w:r>
          </w:p>
        </w:tc>
        <w:tc>
          <w:tcPr>
            <w:tcW w:w="3780" w:type="dxa"/>
            <w:tcBorders>
              <w:top w:val="single" w:color="auto" w:sz="12" w:space="0"/>
              <w:left w:val="single" w:color="auto" w:sz="6" w:space="0"/>
              <w:bottom w:val="single" w:color="auto" w:sz="6" w:space="0"/>
              <w:right w:val="single" w:color="auto" w:sz="12" w:space="0"/>
            </w:tcBorders>
            <w:vAlign w:val="center"/>
          </w:tcPr>
          <w:p w14:paraId="713679E1">
            <w:bookmarkStart w:id="5" w:name="软件全称"/>
            <w:r>
              <w:rPr>
                <w:rFonts w:hint="eastAsia"/>
              </w:rPr>
              <w:t>建筑声环境SEDU2024</w:t>
            </w:r>
            <w:bookmarkEnd w:id="5"/>
          </w:p>
        </w:tc>
      </w:tr>
      <w:tr w14:paraId="564BCC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14:paraId="4AE39D17">
            <w:pPr>
              <w:rPr>
                <w:rFonts w:ascii="宋体" w:hAnsi="宋体"/>
                <w:szCs w:val="18"/>
              </w:rPr>
            </w:pPr>
            <w:r>
              <w:rPr>
                <w:rFonts w:hint="eastAsia" w:ascii="宋体" w:hAnsi="宋体"/>
                <w:szCs w:val="18"/>
              </w:rPr>
              <w:t>软件版本</w:t>
            </w:r>
          </w:p>
        </w:tc>
        <w:tc>
          <w:tcPr>
            <w:tcW w:w="3780" w:type="dxa"/>
            <w:tcBorders>
              <w:top w:val="single" w:color="auto" w:sz="6" w:space="0"/>
              <w:left w:val="single" w:color="auto" w:sz="6" w:space="0"/>
              <w:bottom w:val="single" w:color="auto" w:sz="6" w:space="0"/>
              <w:right w:val="single" w:color="auto" w:sz="12" w:space="0"/>
            </w:tcBorders>
            <w:vAlign w:val="center"/>
          </w:tcPr>
          <w:p w14:paraId="190E57D2">
            <w:bookmarkStart w:id="6" w:name="软件版本"/>
            <w:r>
              <w:rPr>
                <w:rFonts w:hint="eastAsia"/>
              </w:rPr>
              <w:t>20240430(SP1)</w:t>
            </w:r>
            <w:bookmarkEnd w:id="6"/>
          </w:p>
        </w:tc>
      </w:tr>
      <w:tr w14:paraId="308C6C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 w:hRule="atLeas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14:paraId="34E9D54E">
            <w:pPr>
              <w:rPr>
                <w:rFonts w:ascii="宋体" w:hAnsi="宋体"/>
                <w:szCs w:val="18"/>
              </w:rPr>
            </w:pPr>
            <w:r>
              <w:rPr>
                <w:rFonts w:hint="eastAsia" w:ascii="宋体" w:hAnsi="宋体"/>
                <w:szCs w:val="18"/>
              </w:rPr>
              <w:t>研发单位</w:t>
            </w:r>
          </w:p>
        </w:tc>
        <w:tc>
          <w:tcPr>
            <w:tcW w:w="3780" w:type="dxa"/>
            <w:tcBorders>
              <w:top w:val="single" w:color="auto" w:sz="6" w:space="0"/>
              <w:left w:val="single" w:color="auto" w:sz="6" w:space="0"/>
              <w:bottom w:val="single" w:color="auto" w:sz="6" w:space="0"/>
              <w:right w:val="single" w:color="auto" w:sz="12" w:space="0"/>
            </w:tcBorders>
            <w:vAlign w:val="bottom"/>
          </w:tcPr>
          <w:p w14:paraId="09A8ECAD">
            <w:pPr>
              <w:rPr>
                <w:rFonts w:ascii="宋体" w:hAnsi="Times New Roman" w:cs="宋体"/>
                <w:szCs w:val="18"/>
                <w:lang w:val="zh-CN"/>
              </w:rPr>
            </w:pPr>
            <w:r>
              <w:rPr>
                <w:rFonts w:hint="eastAsia" w:ascii="宋体" w:hAnsi="宋体"/>
                <w:szCs w:val="18"/>
              </w:rPr>
              <w:t>北京绿建软件股份有限公司</w:t>
            </w:r>
          </w:p>
        </w:tc>
      </w:tr>
      <w:tr w14:paraId="4905F3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vAlign w:val="center"/>
          </w:tcPr>
          <w:p w14:paraId="1628B206">
            <w:pPr>
              <w:rPr>
                <w:rFonts w:ascii="宋体" w:hAnsi="宋体"/>
                <w:szCs w:val="18"/>
              </w:rPr>
            </w:pPr>
            <w:r>
              <w:rPr>
                <w:rFonts w:hint="eastAsia" w:ascii="宋体" w:hAnsi="宋体"/>
                <w:szCs w:val="18"/>
              </w:rPr>
              <w:t>正版授权码</w:t>
            </w:r>
          </w:p>
        </w:tc>
        <w:tc>
          <w:tcPr>
            <w:tcW w:w="3780" w:type="dxa"/>
            <w:tcBorders>
              <w:top w:val="single" w:color="auto" w:sz="6" w:space="0"/>
              <w:left w:val="single" w:color="auto" w:sz="6" w:space="0"/>
              <w:bottom w:val="single" w:color="auto" w:sz="12" w:space="0"/>
              <w:right w:val="single" w:color="auto" w:sz="12" w:space="0"/>
            </w:tcBorders>
            <w:vAlign w:val="center"/>
          </w:tcPr>
          <w:p w14:paraId="32423F89">
            <w:pPr>
              <w:rPr>
                <w:rFonts w:ascii="Times New Roman" w:hAnsi="Times New Roman"/>
              </w:rPr>
            </w:pPr>
            <w:bookmarkStart w:id="7" w:name="加密锁号"/>
            <w:r>
              <w:t>T13732236081</w:t>
            </w:r>
            <w:bookmarkEnd w:id="7"/>
          </w:p>
          <w:p w14:paraId="328C3CD1">
            <w:pPr>
              <w:rPr>
                <w:rFonts w:ascii="宋体" w:hAnsi="宋体"/>
                <w:szCs w:val="18"/>
              </w:rPr>
            </w:pPr>
          </w:p>
        </w:tc>
      </w:tr>
    </w:tbl>
    <w:p w14:paraId="046692BC"/>
    <w:p w14:paraId="6E17DD8F">
      <w:pPr>
        <w:pStyle w:val="2"/>
        <w:rPr>
          <w:rFonts w:ascii="Times New Roman" w:hAnsi="Times New Roman"/>
        </w:rPr>
      </w:pPr>
      <w:r>
        <w:rPr>
          <w:rFonts w:ascii="Times New Roman" w:hAnsi="Times New Roman"/>
        </w:rPr>
        <w:br w:type="page"/>
      </w:r>
    </w:p>
    <w:p w14:paraId="249B97AF">
      <w:pPr>
        <w:spacing w:line="1000" w:lineRule="exact"/>
        <w:jc w:val="center"/>
        <w:rPr>
          <w:rFonts w:ascii="宋体" w:hAnsi="宋体"/>
          <w:b/>
          <w:bCs/>
          <w:sz w:val="32"/>
          <w:szCs w:val="32"/>
        </w:rPr>
      </w:pPr>
      <w:bookmarkStart w:id="8" w:name="目录"/>
      <w:r>
        <w:rPr>
          <w:rFonts w:hint="eastAsia" w:ascii="宋体" w:hAnsi="宋体"/>
          <w:b/>
          <w:bCs/>
          <w:sz w:val="32"/>
          <w:szCs w:val="32"/>
        </w:rPr>
        <w:t>目  录</w:t>
      </w:r>
    </w:p>
    <w:p w14:paraId="0016DB3C">
      <w:pPr>
        <w:pStyle w:val="11"/>
        <w:pBdr>
          <w:bottom w:val="none" w:color="auto" w:sz="0" w:space="0"/>
        </w:pBdr>
        <w:tabs>
          <w:tab w:val="clear" w:pos="4153"/>
          <w:tab w:val="clear" w:pos="8306"/>
        </w:tabs>
        <w:snapToGrid/>
        <w:rPr>
          <w:rFonts w:ascii="宋体" w:hAnsi="宋体"/>
          <w:szCs w:val="20"/>
        </w:rPr>
      </w:pPr>
    </w:p>
    <w:p w14:paraId="3C1BFC9E">
      <w:pPr>
        <w:pStyle w:val="12"/>
        <w:tabs>
          <w:tab w:val="right" w:leader="dot" w:pos="9070"/>
          <w:tab w:val="clear" w:pos="180"/>
          <w:tab w:val="clear" w:pos="9360"/>
        </w:tabs>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_Toc7192 </w:instrText>
      </w:r>
      <w:r>
        <w:rPr>
          <w:rFonts w:ascii="宋体" w:hAnsi="宋体"/>
          <w:caps/>
        </w:rPr>
        <w:fldChar w:fldCharType="separate"/>
      </w:r>
      <w:r>
        <w:rPr>
          <w:rFonts w:hint="eastAsia"/>
          <w:szCs w:val="28"/>
        </w:rPr>
        <w:t>1</w:t>
      </w:r>
      <w:r>
        <w:rPr>
          <w:szCs w:val="28"/>
        </w:rPr>
        <w:t>.</w:t>
      </w:r>
      <w:r>
        <w:rPr>
          <w:rFonts w:hint="eastAsia" w:ascii="Times New Roman" w:hAnsi="Times New Roman"/>
          <w:szCs w:val="28"/>
        </w:rPr>
        <w:t>项目概况</w:t>
      </w:r>
      <w:r>
        <w:tab/>
      </w:r>
      <w:r>
        <w:fldChar w:fldCharType="begin"/>
      </w:r>
      <w:r>
        <w:instrText xml:space="preserve"> PAGEREF _Toc7192 \h </w:instrText>
      </w:r>
      <w:r>
        <w:fldChar w:fldCharType="separate"/>
      </w:r>
      <w:r>
        <w:t>1</w:t>
      </w:r>
      <w:r>
        <w:fldChar w:fldCharType="end"/>
      </w:r>
      <w:r>
        <w:rPr>
          <w:rFonts w:ascii="宋体" w:hAnsi="宋体"/>
          <w:caps/>
        </w:rPr>
        <w:fldChar w:fldCharType="end"/>
      </w:r>
    </w:p>
    <w:p w14:paraId="5511D053">
      <w:pPr>
        <w:pStyle w:val="12"/>
        <w:tabs>
          <w:tab w:val="right" w:leader="dot" w:pos="9070"/>
          <w:tab w:val="clear" w:pos="180"/>
          <w:tab w:val="clear" w:pos="9360"/>
        </w:tabs>
      </w:pPr>
      <w:r>
        <w:fldChar w:fldCharType="begin"/>
      </w:r>
      <w:r>
        <w:instrText xml:space="preserve"> HYPERLINK \l _Toc10184 </w:instrText>
      </w:r>
      <w:r>
        <w:fldChar w:fldCharType="separate"/>
      </w:r>
      <w:r>
        <w:rPr>
          <w:rFonts w:hint="eastAsia"/>
          <w:szCs w:val="28"/>
        </w:rPr>
        <w:t>2.评价</w:t>
      </w:r>
      <w:r>
        <w:rPr>
          <w:szCs w:val="28"/>
        </w:rPr>
        <w:t>标准</w:t>
      </w:r>
      <w:r>
        <w:tab/>
      </w:r>
      <w:r>
        <w:fldChar w:fldCharType="begin"/>
      </w:r>
      <w:r>
        <w:instrText xml:space="preserve"> PAGEREF _Toc10184 \h </w:instrText>
      </w:r>
      <w:r>
        <w:fldChar w:fldCharType="separate"/>
      </w:r>
      <w:r>
        <w:t>1</w:t>
      </w:r>
      <w:r>
        <w:fldChar w:fldCharType="end"/>
      </w:r>
      <w:r>
        <w:fldChar w:fldCharType="end"/>
      </w:r>
    </w:p>
    <w:p w14:paraId="65B6E74A">
      <w:pPr>
        <w:pStyle w:val="13"/>
        <w:tabs>
          <w:tab w:val="right" w:leader="dot" w:pos="9070"/>
          <w:tab w:val="clear" w:pos="540"/>
          <w:tab w:val="clear" w:pos="9360"/>
        </w:tabs>
      </w:pPr>
      <w:r>
        <w:fldChar w:fldCharType="begin"/>
      </w:r>
      <w:r>
        <w:instrText xml:space="preserve"> HYPERLINK \l _Toc19453 </w:instrText>
      </w:r>
      <w:r>
        <w:fldChar w:fldCharType="separate"/>
      </w:r>
      <w:r>
        <w:rPr>
          <w:rFonts w:hint="eastAsia"/>
          <w:szCs w:val="24"/>
        </w:rPr>
        <w:t>2.1评价</w:t>
      </w:r>
      <w:r>
        <w:rPr>
          <w:szCs w:val="24"/>
        </w:rPr>
        <w:t>依据</w:t>
      </w:r>
      <w:r>
        <w:tab/>
      </w:r>
      <w:r>
        <w:fldChar w:fldCharType="begin"/>
      </w:r>
      <w:r>
        <w:instrText xml:space="preserve"> PAGEREF _Toc19453 \h </w:instrText>
      </w:r>
      <w:r>
        <w:fldChar w:fldCharType="separate"/>
      </w:r>
      <w:r>
        <w:t>1</w:t>
      </w:r>
      <w:r>
        <w:fldChar w:fldCharType="end"/>
      </w:r>
      <w:r>
        <w:fldChar w:fldCharType="end"/>
      </w:r>
    </w:p>
    <w:p w14:paraId="50C617B5">
      <w:pPr>
        <w:pStyle w:val="13"/>
        <w:tabs>
          <w:tab w:val="right" w:leader="dot" w:pos="9070"/>
          <w:tab w:val="clear" w:pos="540"/>
          <w:tab w:val="clear" w:pos="9360"/>
        </w:tabs>
      </w:pPr>
      <w:r>
        <w:fldChar w:fldCharType="begin"/>
      </w:r>
      <w:r>
        <w:instrText xml:space="preserve"> HYPERLINK \l _Toc4544 </w:instrText>
      </w:r>
      <w:r>
        <w:fldChar w:fldCharType="separate"/>
      </w:r>
      <w:r>
        <w:rPr>
          <w:rFonts w:hint="eastAsia"/>
          <w:szCs w:val="24"/>
        </w:rPr>
        <w:t>2.2标准</w:t>
      </w:r>
      <w:r>
        <w:rPr>
          <w:szCs w:val="24"/>
        </w:rPr>
        <w:t>要求</w:t>
      </w:r>
      <w:r>
        <w:tab/>
      </w:r>
      <w:r>
        <w:fldChar w:fldCharType="begin"/>
      </w:r>
      <w:r>
        <w:instrText xml:space="preserve"> PAGEREF _Toc4544 \h </w:instrText>
      </w:r>
      <w:r>
        <w:fldChar w:fldCharType="separate"/>
      </w:r>
      <w:r>
        <w:t>1</w:t>
      </w:r>
      <w:r>
        <w:fldChar w:fldCharType="end"/>
      </w:r>
      <w:r>
        <w:fldChar w:fldCharType="end"/>
      </w:r>
    </w:p>
    <w:p w14:paraId="71563E61">
      <w:pPr>
        <w:pStyle w:val="12"/>
        <w:tabs>
          <w:tab w:val="right" w:leader="dot" w:pos="9070"/>
          <w:tab w:val="clear" w:pos="180"/>
          <w:tab w:val="clear" w:pos="9360"/>
        </w:tabs>
      </w:pPr>
      <w:r>
        <w:fldChar w:fldCharType="begin"/>
      </w:r>
      <w:r>
        <w:instrText xml:space="preserve"> HYPERLINK \l _Toc20672 </w:instrText>
      </w:r>
      <w:r>
        <w:fldChar w:fldCharType="separate"/>
      </w:r>
      <w:r>
        <w:rPr>
          <w:rFonts w:hint="eastAsia"/>
          <w:szCs w:val="28"/>
        </w:rPr>
        <w:t>3.模拟</w:t>
      </w:r>
      <w:r>
        <w:rPr>
          <w:szCs w:val="28"/>
        </w:rPr>
        <w:t>方法</w:t>
      </w:r>
      <w:r>
        <w:tab/>
      </w:r>
      <w:r>
        <w:fldChar w:fldCharType="begin"/>
      </w:r>
      <w:r>
        <w:instrText xml:space="preserve"> PAGEREF _Toc20672 \h </w:instrText>
      </w:r>
      <w:r>
        <w:fldChar w:fldCharType="separate"/>
      </w:r>
      <w:r>
        <w:t>2</w:t>
      </w:r>
      <w:r>
        <w:fldChar w:fldCharType="end"/>
      </w:r>
      <w:r>
        <w:fldChar w:fldCharType="end"/>
      </w:r>
    </w:p>
    <w:p w14:paraId="05270864">
      <w:pPr>
        <w:pStyle w:val="13"/>
        <w:tabs>
          <w:tab w:val="right" w:leader="dot" w:pos="9070"/>
          <w:tab w:val="clear" w:pos="540"/>
          <w:tab w:val="clear" w:pos="9360"/>
        </w:tabs>
      </w:pPr>
      <w:r>
        <w:fldChar w:fldCharType="begin"/>
      </w:r>
      <w:r>
        <w:instrText xml:space="preserve"> HYPERLINK \l _Toc11419 </w:instrText>
      </w:r>
      <w:r>
        <w:fldChar w:fldCharType="separate"/>
      </w:r>
      <w:r>
        <w:rPr>
          <w:rFonts w:hint="eastAsia"/>
          <w:szCs w:val="24"/>
        </w:rPr>
        <w:t>3.1模拟软件</w:t>
      </w:r>
      <w:r>
        <w:tab/>
      </w:r>
      <w:r>
        <w:fldChar w:fldCharType="begin"/>
      </w:r>
      <w:r>
        <w:instrText xml:space="preserve"> PAGEREF _Toc11419 \h </w:instrText>
      </w:r>
      <w:r>
        <w:fldChar w:fldCharType="separate"/>
      </w:r>
      <w:r>
        <w:t>2</w:t>
      </w:r>
      <w:r>
        <w:fldChar w:fldCharType="end"/>
      </w:r>
      <w:r>
        <w:fldChar w:fldCharType="end"/>
      </w:r>
    </w:p>
    <w:p w14:paraId="56253583">
      <w:pPr>
        <w:pStyle w:val="13"/>
        <w:tabs>
          <w:tab w:val="right" w:leader="dot" w:pos="9070"/>
          <w:tab w:val="clear" w:pos="540"/>
          <w:tab w:val="clear" w:pos="9360"/>
        </w:tabs>
      </w:pPr>
      <w:r>
        <w:fldChar w:fldCharType="begin"/>
      </w:r>
      <w:r>
        <w:instrText xml:space="preserve"> HYPERLINK \l _Toc12645 </w:instrText>
      </w:r>
      <w:r>
        <w:fldChar w:fldCharType="separate"/>
      </w:r>
      <w:r>
        <w:rPr>
          <w:rFonts w:hint="eastAsia"/>
          <w:szCs w:val="24"/>
        </w:rPr>
        <w:t>3.2分析</w:t>
      </w:r>
      <w:r>
        <w:rPr>
          <w:szCs w:val="24"/>
        </w:rPr>
        <w:t>模</w:t>
      </w:r>
      <w:r>
        <w:rPr>
          <w:rFonts w:hint="eastAsia"/>
          <w:szCs w:val="24"/>
        </w:rPr>
        <w:t>型</w:t>
      </w:r>
      <w:r>
        <w:tab/>
      </w:r>
      <w:r>
        <w:fldChar w:fldCharType="begin"/>
      </w:r>
      <w:r>
        <w:instrText xml:space="preserve"> PAGEREF _Toc12645 \h </w:instrText>
      </w:r>
      <w:r>
        <w:fldChar w:fldCharType="separate"/>
      </w:r>
      <w:r>
        <w:t>2</w:t>
      </w:r>
      <w:r>
        <w:fldChar w:fldCharType="end"/>
      </w:r>
      <w:r>
        <w:fldChar w:fldCharType="end"/>
      </w:r>
    </w:p>
    <w:p w14:paraId="04AE7BD9">
      <w:pPr>
        <w:pStyle w:val="13"/>
        <w:tabs>
          <w:tab w:val="right" w:leader="dot" w:pos="9070"/>
          <w:tab w:val="clear" w:pos="540"/>
          <w:tab w:val="clear" w:pos="9360"/>
        </w:tabs>
      </w:pPr>
      <w:r>
        <w:fldChar w:fldCharType="begin"/>
      </w:r>
      <w:r>
        <w:instrText xml:space="preserve"> HYPERLINK \l _Toc28964 </w:instrText>
      </w:r>
      <w:r>
        <w:fldChar w:fldCharType="separate"/>
      </w:r>
      <w:r>
        <w:rPr>
          <w:rFonts w:hint="eastAsia"/>
          <w:szCs w:val="24"/>
        </w:rPr>
        <w:t>3.</w:t>
      </w:r>
      <w:r>
        <w:rPr>
          <w:szCs w:val="24"/>
        </w:rPr>
        <w:t>3</w:t>
      </w:r>
      <w:r>
        <w:rPr>
          <w:rFonts w:hint="eastAsia"/>
          <w:szCs w:val="24"/>
        </w:rPr>
        <w:t>计算条件</w:t>
      </w:r>
      <w:r>
        <w:tab/>
      </w:r>
      <w:r>
        <w:fldChar w:fldCharType="begin"/>
      </w:r>
      <w:r>
        <w:instrText xml:space="preserve"> PAGEREF _Toc28964 \h </w:instrText>
      </w:r>
      <w:r>
        <w:fldChar w:fldCharType="separate"/>
      </w:r>
      <w:r>
        <w:t>4</w:t>
      </w:r>
      <w:r>
        <w:fldChar w:fldCharType="end"/>
      </w:r>
      <w:r>
        <w:fldChar w:fldCharType="end"/>
      </w:r>
    </w:p>
    <w:p w14:paraId="5FAEB6DD">
      <w:pPr>
        <w:pStyle w:val="13"/>
        <w:tabs>
          <w:tab w:val="right" w:leader="dot" w:pos="9070"/>
          <w:tab w:val="clear" w:pos="540"/>
          <w:tab w:val="clear" w:pos="9360"/>
        </w:tabs>
      </w:pPr>
      <w:r>
        <w:fldChar w:fldCharType="begin"/>
      </w:r>
      <w:r>
        <w:instrText xml:space="preserve"> HYPERLINK \l _Toc16900 </w:instrText>
      </w:r>
      <w:r>
        <w:fldChar w:fldCharType="separate"/>
      </w:r>
      <w:r>
        <w:rPr>
          <w:rFonts w:hint="eastAsia"/>
          <w:szCs w:val="24"/>
        </w:rPr>
        <w:t>3.</w:t>
      </w:r>
      <w:r>
        <w:rPr>
          <w:szCs w:val="24"/>
        </w:rPr>
        <w:t>4</w:t>
      </w:r>
      <w:r>
        <w:rPr>
          <w:rFonts w:hint="eastAsia"/>
          <w:szCs w:val="24"/>
        </w:rPr>
        <w:t>参数</w:t>
      </w:r>
      <w:r>
        <w:rPr>
          <w:szCs w:val="24"/>
        </w:rPr>
        <w:t>设置</w:t>
      </w:r>
      <w:r>
        <w:tab/>
      </w:r>
      <w:r>
        <w:fldChar w:fldCharType="begin"/>
      </w:r>
      <w:r>
        <w:instrText xml:space="preserve"> PAGEREF _Toc16900 \h </w:instrText>
      </w:r>
      <w:r>
        <w:fldChar w:fldCharType="separate"/>
      </w:r>
      <w:r>
        <w:t>4</w:t>
      </w:r>
      <w:r>
        <w:fldChar w:fldCharType="end"/>
      </w:r>
      <w:r>
        <w:fldChar w:fldCharType="end"/>
      </w:r>
    </w:p>
    <w:p w14:paraId="50F40A59">
      <w:pPr>
        <w:pStyle w:val="12"/>
        <w:tabs>
          <w:tab w:val="right" w:leader="dot" w:pos="9070"/>
          <w:tab w:val="clear" w:pos="180"/>
          <w:tab w:val="clear" w:pos="9360"/>
        </w:tabs>
      </w:pPr>
      <w:r>
        <w:fldChar w:fldCharType="begin"/>
      </w:r>
      <w:r>
        <w:instrText xml:space="preserve"> HYPERLINK \l _Toc28605 </w:instrText>
      </w:r>
      <w:r>
        <w:fldChar w:fldCharType="separate"/>
      </w:r>
      <w:r>
        <w:rPr>
          <w:rFonts w:hint="eastAsia"/>
          <w:szCs w:val="28"/>
        </w:rPr>
        <w:t>4.模拟结果</w:t>
      </w:r>
      <w:r>
        <w:rPr>
          <w:szCs w:val="28"/>
        </w:rPr>
        <w:t>及分析</w:t>
      </w:r>
      <w:r>
        <w:tab/>
      </w:r>
      <w:r>
        <w:fldChar w:fldCharType="begin"/>
      </w:r>
      <w:r>
        <w:instrText xml:space="preserve"> PAGEREF _Toc28605 \h </w:instrText>
      </w:r>
      <w:r>
        <w:fldChar w:fldCharType="separate"/>
      </w:r>
      <w:r>
        <w:t>5</w:t>
      </w:r>
      <w:r>
        <w:fldChar w:fldCharType="end"/>
      </w:r>
      <w:r>
        <w:fldChar w:fldCharType="end"/>
      </w:r>
    </w:p>
    <w:p w14:paraId="088C85FC">
      <w:pPr>
        <w:pStyle w:val="13"/>
        <w:tabs>
          <w:tab w:val="right" w:leader="dot" w:pos="9070"/>
          <w:tab w:val="clear" w:pos="540"/>
          <w:tab w:val="clear" w:pos="9360"/>
        </w:tabs>
      </w:pPr>
      <w:r>
        <w:fldChar w:fldCharType="begin"/>
      </w:r>
      <w:r>
        <w:instrText xml:space="preserve"> HYPERLINK \l _Toc21361 </w:instrText>
      </w:r>
      <w:r>
        <w:fldChar w:fldCharType="separate"/>
      </w:r>
      <w:r>
        <w:rPr>
          <w:rFonts w:hint="eastAsia"/>
          <w:szCs w:val="24"/>
        </w:rPr>
        <w:t>4</w:t>
      </w:r>
      <w:r>
        <w:rPr>
          <w:szCs w:val="24"/>
        </w:rPr>
        <w:t>.1</w:t>
      </w:r>
      <w:r>
        <w:rPr>
          <w:rFonts w:hint="eastAsia"/>
          <w:szCs w:val="24"/>
        </w:rPr>
        <w:t>场地</w:t>
      </w:r>
      <w:r>
        <w:rPr>
          <w:szCs w:val="24"/>
        </w:rPr>
        <w:t>噪声</w:t>
      </w:r>
      <w:r>
        <w:rPr>
          <w:rFonts w:hint="eastAsia"/>
          <w:szCs w:val="24"/>
        </w:rPr>
        <w:t>分布</w:t>
      </w:r>
      <w:r>
        <w:tab/>
      </w:r>
      <w:r>
        <w:fldChar w:fldCharType="begin"/>
      </w:r>
      <w:r>
        <w:instrText xml:space="preserve"> PAGEREF _Toc21361 \h </w:instrText>
      </w:r>
      <w:r>
        <w:fldChar w:fldCharType="separate"/>
      </w:r>
      <w:r>
        <w:t>5</w:t>
      </w:r>
      <w:r>
        <w:fldChar w:fldCharType="end"/>
      </w:r>
      <w:r>
        <w:fldChar w:fldCharType="end"/>
      </w:r>
    </w:p>
    <w:p w14:paraId="222177F3">
      <w:pPr>
        <w:pStyle w:val="13"/>
        <w:tabs>
          <w:tab w:val="right" w:leader="dot" w:pos="9070"/>
          <w:tab w:val="clear" w:pos="540"/>
          <w:tab w:val="clear" w:pos="9360"/>
        </w:tabs>
      </w:pPr>
      <w:r>
        <w:fldChar w:fldCharType="begin"/>
      </w:r>
      <w:r>
        <w:instrText xml:space="preserve"> HYPERLINK \l _Toc14310 </w:instrText>
      </w:r>
      <w:r>
        <w:fldChar w:fldCharType="separate"/>
      </w:r>
      <w:r>
        <w:rPr>
          <w:rFonts w:hint="eastAsia"/>
          <w:szCs w:val="24"/>
        </w:rPr>
        <w:t>4</w:t>
      </w:r>
      <w:r>
        <w:rPr>
          <w:szCs w:val="24"/>
        </w:rPr>
        <w:t>.2</w:t>
      </w:r>
      <w:r>
        <w:rPr>
          <w:rFonts w:hint="eastAsia"/>
          <w:szCs w:val="24"/>
        </w:rPr>
        <w:t>噪声敏感建筑</w:t>
      </w:r>
      <w:r>
        <w:rPr>
          <w:szCs w:val="24"/>
        </w:rPr>
        <w:t>噪声</w:t>
      </w:r>
      <w:r>
        <w:rPr>
          <w:rFonts w:hint="eastAsia"/>
          <w:szCs w:val="24"/>
        </w:rPr>
        <w:t>分布情况</w:t>
      </w:r>
      <w:r>
        <w:tab/>
      </w:r>
      <w:r>
        <w:fldChar w:fldCharType="begin"/>
      </w:r>
      <w:r>
        <w:instrText xml:space="preserve"> PAGEREF _Toc14310 \h </w:instrText>
      </w:r>
      <w:r>
        <w:fldChar w:fldCharType="separate"/>
      </w:r>
      <w:r>
        <w:t>8</w:t>
      </w:r>
      <w:r>
        <w:fldChar w:fldCharType="end"/>
      </w:r>
      <w:r>
        <w:fldChar w:fldCharType="end"/>
      </w:r>
    </w:p>
    <w:p w14:paraId="5419E195">
      <w:pPr>
        <w:pStyle w:val="12"/>
        <w:tabs>
          <w:tab w:val="right" w:leader="dot" w:pos="9070"/>
          <w:tab w:val="clear" w:pos="180"/>
          <w:tab w:val="clear" w:pos="9360"/>
        </w:tabs>
      </w:pPr>
      <w:r>
        <w:fldChar w:fldCharType="begin"/>
      </w:r>
      <w:r>
        <w:instrText xml:space="preserve"> HYPERLINK \l _Toc6471 </w:instrText>
      </w:r>
      <w:r>
        <w:fldChar w:fldCharType="separate"/>
      </w:r>
      <w:r>
        <w:rPr>
          <w:rFonts w:hint="eastAsia"/>
          <w:szCs w:val="28"/>
        </w:rPr>
        <w:t>5.结论</w:t>
      </w:r>
      <w:r>
        <w:tab/>
      </w:r>
      <w:r>
        <w:fldChar w:fldCharType="begin"/>
      </w:r>
      <w:r>
        <w:instrText xml:space="preserve"> PAGEREF _Toc6471 \h </w:instrText>
      </w:r>
      <w:r>
        <w:fldChar w:fldCharType="separate"/>
      </w:r>
      <w:r>
        <w:t>12</w:t>
      </w:r>
      <w:r>
        <w:fldChar w:fldCharType="end"/>
      </w:r>
      <w:r>
        <w:fldChar w:fldCharType="end"/>
      </w:r>
    </w:p>
    <w:p w14:paraId="07FF467C">
      <w:pPr>
        <w:pStyle w:val="12"/>
      </w:pPr>
      <w:r>
        <w:fldChar w:fldCharType="end"/>
      </w:r>
      <w:bookmarkEnd w:id="8"/>
    </w:p>
    <w:p w14:paraId="363EDE38">
      <w:pPr>
        <w:jc w:val="right"/>
      </w:pPr>
    </w:p>
    <w:p w14:paraId="450DB835"/>
    <w:p w14:paraId="57B62DF4">
      <w:pPr>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p>
    <w:p w14:paraId="5DF75579">
      <w:pPr>
        <w:pStyle w:val="2"/>
        <w:rPr>
          <w:rFonts w:ascii="Times New Roman" w:hAnsi="Times New Roman"/>
          <w:sz w:val="28"/>
          <w:szCs w:val="28"/>
        </w:rPr>
      </w:pPr>
      <w:bookmarkStart w:id="9" w:name="_Toc479326717"/>
      <w:bookmarkStart w:id="10" w:name="_Toc7192"/>
      <w:r>
        <w:rPr>
          <w:rFonts w:hint="eastAsia"/>
          <w:sz w:val="28"/>
          <w:szCs w:val="28"/>
        </w:rPr>
        <w:t>1</w:t>
      </w:r>
      <w:r>
        <w:rPr>
          <w:sz w:val="28"/>
          <w:szCs w:val="28"/>
        </w:rPr>
        <w:t>.</w:t>
      </w:r>
      <w:r>
        <w:rPr>
          <w:rFonts w:hint="eastAsia" w:ascii="Times New Roman" w:hAnsi="Times New Roman"/>
          <w:sz w:val="28"/>
          <w:szCs w:val="28"/>
        </w:rPr>
        <w:t>项目概况</w:t>
      </w:r>
      <w:bookmarkEnd w:id="9"/>
      <w:bookmarkEnd w:id="10"/>
    </w:p>
    <w:p w14:paraId="11A06BFC">
      <w:r>
        <w:rPr>
          <w:rFonts w:hint="eastAsia"/>
        </w:rPr>
        <w:t>本项目参与计算的噪声敏感参评建筑物如下表所示：</w:t>
      </w:r>
    </w:p>
    <w:p w14:paraId="16E00042">
      <w:pPr>
        <w:widowControl/>
        <w:spacing w:before="240"/>
        <w:jc w:val="center"/>
        <w:rPr>
          <w:kern w:val="0"/>
          <w:sz w:val="18"/>
          <w:szCs w:val="18"/>
        </w:rPr>
      </w:pPr>
      <w:r>
        <w:rPr>
          <w:rFonts w:hint="eastAsia"/>
          <w:kern w:val="0"/>
          <w:sz w:val="18"/>
          <w:szCs w:val="18"/>
        </w:rPr>
        <w:t>表1 参评</w:t>
      </w:r>
      <w:r>
        <w:rPr>
          <w:kern w:val="0"/>
          <w:sz w:val="18"/>
          <w:szCs w:val="18"/>
        </w:rPr>
        <w:t>建筑</w:t>
      </w:r>
      <w:r>
        <w:rPr>
          <w:rFonts w:hint="eastAsia"/>
          <w:kern w:val="0"/>
          <w:sz w:val="18"/>
          <w:szCs w:val="18"/>
        </w:rPr>
        <w:t>信息表</w:t>
      </w:r>
    </w:p>
    <w:tbl>
      <w:tblPr>
        <w:tblStyle w:val="15"/>
        <w:tblW w:w="827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616"/>
        <w:gridCol w:w="2586"/>
        <w:gridCol w:w="2071"/>
      </w:tblGrid>
      <w:tr w14:paraId="6AE781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9ED7D69">
            <w:pPr>
              <w:jc w:val="center"/>
              <w:rPr>
                <w:sz w:val="21"/>
                <w:szCs w:val="21"/>
              </w:rPr>
            </w:pPr>
            <w:r>
              <w:rPr>
                <w:sz w:val="21"/>
                <w:szCs w:val="21"/>
              </w:rPr>
              <w:t>名称</w:t>
            </w:r>
          </w:p>
        </w:tc>
        <w:tc>
          <w:tcPr>
            <w:shd w:val="clear" w:color="auto" w:fill="E6E6E6"/>
            <w:vAlign w:val="center"/>
          </w:tcPr>
          <w:p w14:paraId="3F6F0C34">
            <w:pPr>
              <w:jc w:val="center"/>
              <w:rPr>
                <w:sz w:val="21"/>
                <w:szCs w:val="21"/>
              </w:rPr>
            </w:pPr>
            <w:r>
              <w:rPr>
                <w:sz w:val="21"/>
                <w:szCs w:val="21"/>
              </w:rPr>
              <w:t>建筑高度(米)</w:t>
            </w:r>
          </w:p>
        </w:tc>
        <w:tc>
          <w:tcPr>
            <w:shd w:val="clear" w:color="auto" w:fill="E6E6E6"/>
            <w:vAlign w:val="center"/>
          </w:tcPr>
          <w:p w14:paraId="744D54B0">
            <w:pPr>
              <w:jc w:val="center"/>
              <w:rPr>
                <w:sz w:val="21"/>
                <w:szCs w:val="21"/>
              </w:rPr>
            </w:pPr>
            <w:r>
              <w:rPr>
                <w:sz w:val="21"/>
                <w:szCs w:val="21"/>
              </w:rPr>
              <w:t>底标高(米)</w:t>
            </w:r>
          </w:p>
        </w:tc>
      </w:tr>
      <w:tr w14:paraId="352EA7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A77BB28">
            <w:pPr>
              <w:jc w:val="center"/>
              <w:rPr>
                <w:sz w:val="21"/>
                <w:szCs w:val="21"/>
              </w:rPr>
            </w:pPr>
            <w:r>
              <w:rPr>
                <w:sz w:val="21"/>
                <w:szCs w:val="21"/>
              </w:rPr>
              <w:t>DT</w:t>
            </w:r>
          </w:p>
        </w:tc>
        <w:tc>
          <w:tcPr>
            <w:vAlign w:val="center"/>
          </w:tcPr>
          <w:p w14:paraId="0DD146D1">
            <w:pPr>
              <w:jc w:val="center"/>
              <w:rPr>
                <w:sz w:val="21"/>
                <w:szCs w:val="21"/>
              </w:rPr>
            </w:pPr>
            <w:r>
              <w:rPr>
                <w:sz w:val="21"/>
                <w:szCs w:val="21"/>
              </w:rPr>
              <w:t>6.00</w:t>
            </w:r>
          </w:p>
        </w:tc>
        <w:tc>
          <w:tcPr>
            <w:vAlign w:val="center"/>
          </w:tcPr>
          <w:p w14:paraId="7FD2DEC9">
            <w:pPr>
              <w:jc w:val="center"/>
              <w:rPr>
                <w:sz w:val="21"/>
                <w:szCs w:val="21"/>
              </w:rPr>
            </w:pPr>
            <w:r>
              <w:rPr>
                <w:sz w:val="21"/>
                <w:szCs w:val="21"/>
              </w:rPr>
              <w:t>0.00</w:t>
            </w:r>
          </w:p>
        </w:tc>
      </w:tr>
    </w:tbl>
    <w:p w14:paraId="2A769954">
      <w:pPr>
        <w:widowControl/>
        <w:jc w:val="center"/>
        <w:rPr>
          <w:rFonts w:ascii="宋体" w:hAnsi="宋体"/>
        </w:rPr>
      </w:pPr>
      <w:bookmarkStart w:id="11" w:name="参评建筑信息表"/>
      <w:bookmarkEnd w:id="11"/>
    </w:p>
    <w:p w14:paraId="22E4EB95">
      <w:pPr>
        <w:pStyle w:val="2"/>
        <w:rPr>
          <w:sz w:val="28"/>
          <w:szCs w:val="28"/>
        </w:rPr>
      </w:pPr>
      <w:bookmarkStart w:id="12" w:name="_Toc479326718"/>
      <w:bookmarkStart w:id="13" w:name="_Toc10184"/>
      <w:r>
        <w:rPr>
          <w:rFonts w:hint="eastAsia"/>
          <w:sz w:val="28"/>
          <w:szCs w:val="28"/>
        </w:rPr>
        <w:t>2.评价</w:t>
      </w:r>
      <w:r>
        <w:rPr>
          <w:sz w:val="28"/>
          <w:szCs w:val="28"/>
        </w:rPr>
        <w:t>标准</w:t>
      </w:r>
      <w:bookmarkEnd w:id="12"/>
      <w:bookmarkEnd w:id="13"/>
    </w:p>
    <w:p w14:paraId="432E7238">
      <w:pPr>
        <w:pStyle w:val="3"/>
        <w:rPr>
          <w:sz w:val="24"/>
          <w:szCs w:val="24"/>
        </w:rPr>
      </w:pPr>
      <w:bookmarkStart w:id="14" w:name="_Toc479326719"/>
      <w:bookmarkStart w:id="15" w:name="_Toc19453"/>
      <w:r>
        <w:rPr>
          <w:rFonts w:hint="eastAsia"/>
          <w:sz w:val="24"/>
          <w:szCs w:val="24"/>
        </w:rPr>
        <w:t>2.1评价</w:t>
      </w:r>
      <w:r>
        <w:rPr>
          <w:sz w:val="24"/>
          <w:szCs w:val="24"/>
        </w:rPr>
        <w:t>依据</w:t>
      </w:r>
      <w:bookmarkEnd w:id="14"/>
      <w:bookmarkEnd w:id="15"/>
    </w:p>
    <w:p w14:paraId="67E0A5EF">
      <w:pPr>
        <w:pStyle w:val="33"/>
        <w:numPr>
          <w:ilvl w:val="0"/>
          <w:numId w:val="1"/>
        </w:numPr>
        <w:spacing w:line="276" w:lineRule="auto"/>
        <w:ind w:firstLineChars="0"/>
        <w:rPr>
          <w:rFonts w:ascii="微软雅黑" w:hAnsi="微软雅黑"/>
          <w:sz w:val="21"/>
          <w:szCs w:val="21"/>
        </w:rPr>
      </w:pPr>
      <w:bookmarkStart w:id="16" w:name="_Hlk13924517"/>
      <w:bookmarkStart w:id="17" w:name="_Toc479326720"/>
      <w:r>
        <w:rPr>
          <w:rFonts w:hint="eastAsia" w:ascii="微软雅黑" w:hAnsi="微软雅黑"/>
          <w:sz w:val="21"/>
          <w:szCs w:val="21"/>
        </w:rPr>
        <w:t>《绿色建筑评价标准》</w:t>
      </w:r>
      <w:r>
        <w:rPr>
          <w:rFonts w:ascii="微软雅黑" w:hAnsi="微软雅黑"/>
          <w:sz w:val="21"/>
          <w:szCs w:val="21"/>
        </w:rPr>
        <w:t>GB</w:t>
      </w:r>
      <w:r>
        <w:rPr>
          <w:rFonts w:hint="eastAsia" w:ascii="微软雅黑" w:hAnsi="微软雅黑"/>
          <w:sz w:val="21"/>
          <w:szCs w:val="21"/>
        </w:rPr>
        <w:t xml:space="preserve"> </w:t>
      </w:r>
      <w:r>
        <w:rPr>
          <w:rFonts w:ascii="微软雅黑" w:hAnsi="微软雅黑"/>
          <w:sz w:val="21"/>
          <w:szCs w:val="21"/>
        </w:rPr>
        <w:t>50378-2019</w:t>
      </w:r>
      <w:bookmarkEnd w:id="16"/>
      <w:r>
        <w:rPr>
          <w:rFonts w:ascii="微软雅黑" w:hAnsi="微软雅黑"/>
          <w:sz w:val="21"/>
          <w:szCs w:val="21"/>
        </w:rPr>
        <w:t xml:space="preserve"> </w:t>
      </w:r>
    </w:p>
    <w:p w14:paraId="304AA8A1">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《绿色建筑评价</w:t>
      </w:r>
      <w:r>
        <w:rPr>
          <w:rFonts w:ascii="微软雅黑" w:hAnsi="微软雅黑"/>
          <w:sz w:val="21"/>
          <w:szCs w:val="21"/>
        </w:rPr>
        <w:t>技术细则</w:t>
      </w:r>
      <w:r>
        <w:rPr>
          <w:rFonts w:hint="eastAsia" w:ascii="微软雅黑" w:hAnsi="微软雅黑"/>
          <w:sz w:val="21"/>
          <w:szCs w:val="21"/>
        </w:rPr>
        <w:t>》2019</w:t>
      </w:r>
    </w:p>
    <w:p w14:paraId="3B33E40F">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《声环境质量标准》</w:t>
      </w:r>
      <w:r>
        <w:rPr>
          <w:rFonts w:ascii="微软雅黑" w:hAnsi="微软雅黑"/>
          <w:sz w:val="21"/>
          <w:szCs w:val="21"/>
        </w:rPr>
        <w:t xml:space="preserve">GB 3096-2008 </w:t>
      </w:r>
    </w:p>
    <w:p w14:paraId="50C0D66F">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《环境</w:t>
      </w:r>
      <w:r>
        <w:rPr>
          <w:rFonts w:ascii="微软雅黑" w:hAnsi="微软雅黑"/>
          <w:sz w:val="21"/>
          <w:szCs w:val="21"/>
        </w:rPr>
        <w:t>影响评价技术</w:t>
      </w:r>
      <w:r>
        <w:rPr>
          <w:rFonts w:hint="eastAsia" w:ascii="微软雅黑" w:hAnsi="微软雅黑"/>
          <w:sz w:val="21"/>
          <w:szCs w:val="21"/>
        </w:rPr>
        <w:t>导则 声环境》HJ</w:t>
      </w:r>
      <w:r>
        <w:rPr>
          <w:rFonts w:ascii="微软雅黑" w:hAnsi="微软雅黑"/>
          <w:sz w:val="21"/>
          <w:szCs w:val="21"/>
        </w:rPr>
        <w:t>2.4-2009</w:t>
      </w:r>
    </w:p>
    <w:p w14:paraId="10EF4901">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《声环境功能区划分技术规范》</w:t>
      </w:r>
      <w:r>
        <w:rPr>
          <w:rFonts w:ascii="微软雅黑" w:hAnsi="微软雅黑"/>
          <w:sz w:val="21"/>
          <w:szCs w:val="21"/>
        </w:rPr>
        <w:t>GB/T 15190-2014</w:t>
      </w:r>
    </w:p>
    <w:p w14:paraId="46D05553">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05EE3692">
      <w:pPr>
        <w:pStyle w:val="3"/>
        <w:rPr>
          <w:sz w:val="24"/>
          <w:szCs w:val="24"/>
        </w:rPr>
      </w:pPr>
      <w:bookmarkStart w:id="18" w:name="_Toc4544"/>
      <w:r>
        <w:rPr>
          <w:rFonts w:hint="eastAsia"/>
          <w:sz w:val="24"/>
          <w:szCs w:val="24"/>
        </w:rPr>
        <w:t>2.2标准</w:t>
      </w:r>
      <w:r>
        <w:rPr>
          <w:sz w:val="24"/>
          <w:szCs w:val="24"/>
        </w:rPr>
        <w:t>要求</w:t>
      </w:r>
      <w:bookmarkEnd w:id="17"/>
      <w:bookmarkEnd w:id="18"/>
    </w:p>
    <w:p w14:paraId="1EB0440D">
      <w:pPr>
        <w:pStyle w:val="25"/>
        <w:numPr>
          <w:ilvl w:val="0"/>
          <w:numId w:val="2"/>
        </w:numPr>
        <w:ind w:firstLineChars="0"/>
      </w:pPr>
      <w:r>
        <w:rPr>
          <w:rFonts w:hint="eastAsia"/>
        </w:rPr>
        <w:t>《绿色建筑评价标准》</w:t>
      </w:r>
      <w:r>
        <w:t>GB</w:t>
      </w:r>
      <w:r>
        <w:rPr>
          <w:rFonts w:hint="eastAsia"/>
        </w:rPr>
        <w:t xml:space="preserve"> </w:t>
      </w:r>
      <w:r>
        <w:t>50378</w:t>
      </w:r>
      <w:r>
        <w:rPr>
          <w:rFonts w:hint="eastAsia"/>
        </w:rPr>
        <w:t>中规定：</w:t>
      </w:r>
    </w:p>
    <w:p w14:paraId="6B2F655C">
      <w:pPr>
        <w:ind w:left="420" w:leftChars="200"/>
      </w:pPr>
      <w:r>
        <w:rPr>
          <w:rFonts w:hint="eastAsia"/>
        </w:rPr>
        <w:t>8.2.6场地内的环境噪声优于现行国家标准《声环境质量标准》GB</w:t>
      </w:r>
      <w:r>
        <w:t xml:space="preserve"> </w:t>
      </w:r>
      <w:r>
        <w:rPr>
          <w:rFonts w:hint="eastAsia"/>
        </w:rPr>
        <w:t>3096的要求，评价总分值为10分，并按下列规则评分：</w:t>
      </w:r>
    </w:p>
    <w:p w14:paraId="145074EF">
      <w:pPr>
        <w:ind w:left="420" w:leftChars="200"/>
      </w:pPr>
      <w:r>
        <w:rPr>
          <w:rFonts w:hint="eastAsia"/>
        </w:rPr>
        <w:t>1.</w:t>
      </w:r>
      <w:r>
        <w:t xml:space="preserve"> </w:t>
      </w:r>
      <w:r>
        <w:rPr>
          <w:rFonts w:hint="eastAsia"/>
        </w:rPr>
        <w:t>环境噪声值大于2类声环境功能区标准限值，且小于或等于3类声环境功能区标准限值，得5分。</w:t>
      </w:r>
    </w:p>
    <w:p w14:paraId="6DA2A7B3">
      <w:pPr>
        <w:ind w:left="420" w:leftChars="200"/>
      </w:pPr>
      <w:r>
        <w:rPr>
          <w:rFonts w:hint="eastAsia"/>
        </w:rPr>
        <w:t>2.</w:t>
      </w:r>
      <w:r>
        <w:t xml:space="preserve"> </w:t>
      </w:r>
      <w:r>
        <w:rPr>
          <w:rFonts w:hint="eastAsia"/>
        </w:rPr>
        <w:t>环境噪声值小于或等于2类声环境功能区标准限值，得10分。</w:t>
      </w:r>
    </w:p>
    <w:p w14:paraId="140864AF">
      <w:pPr>
        <w:pStyle w:val="25"/>
        <w:numPr>
          <w:ilvl w:val="0"/>
          <w:numId w:val="3"/>
        </w:numPr>
        <w:ind w:firstLineChars="0"/>
      </w:pPr>
      <w:r>
        <w:rPr>
          <w:rFonts w:hint="eastAsia"/>
        </w:rPr>
        <w:t>《声环境质量标准》</w:t>
      </w:r>
      <w:r>
        <w:t>GB</w:t>
      </w:r>
      <w:r>
        <w:rPr>
          <w:rFonts w:hint="eastAsia"/>
        </w:rPr>
        <w:t xml:space="preserve"> </w:t>
      </w:r>
      <w:r>
        <w:t>3096</w:t>
      </w:r>
      <w:r>
        <w:rPr>
          <w:rFonts w:hint="eastAsia"/>
        </w:rPr>
        <w:t>中规定了五类声环境功能区的环境噪声限值，如下表所示。</w:t>
      </w:r>
    </w:p>
    <w:p w14:paraId="237CC964">
      <w:pPr>
        <w:widowControl/>
        <w:ind w:right="180"/>
        <w:jc w:val="right"/>
        <w:rPr>
          <w:kern w:val="0"/>
          <w:sz w:val="18"/>
          <w:szCs w:val="18"/>
        </w:rPr>
      </w:pPr>
      <w:r>
        <w:rPr>
          <w:rFonts w:hint="eastAsia"/>
          <w:kern w:val="0"/>
          <w:sz w:val="18"/>
          <w:szCs w:val="18"/>
        </w:rPr>
        <w:t>表2 环境</w:t>
      </w:r>
      <w:r>
        <w:rPr>
          <w:kern w:val="0"/>
          <w:sz w:val="18"/>
          <w:szCs w:val="18"/>
        </w:rPr>
        <w:t>噪声限值</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单位</w:t>
      </w:r>
      <w:r>
        <w:rPr>
          <w:kern w:val="0"/>
          <w:sz w:val="18"/>
          <w:szCs w:val="18"/>
        </w:rPr>
        <w:t>：dB(A</w:t>
      </w:r>
      <w:r>
        <w:rPr>
          <w:rFonts w:hint="eastAsia"/>
          <w:kern w:val="0"/>
          <w:sz w:val="18"/>
          <w:szCs w:val="18"/>
        </w:rPr>
        <w:t>)</w:t>
      </w:r>
    </w:p>
    <w:tbl>
      <w:tblPr>
        <w:tblStyle w:val="15"/>
        <w:tblW w:w="5000" w:type="pct"/>
        <w:jc w:val="center"/>
        <w:tblLayout w:type="autofit"/>
        <w:tblCellMar>
          <w:top w:w="0" w:type="dxa"/>
          <w:left w:w="108" w:type="dxa"/>
          <w:bottom w:w="0" w:type="dxa"/>
          <w:right w:w="108" w:type="dxa"/>
        </w:tblCellMar>
      </w:tblPr>
      <w:tblGrid>
        <w:gridCol w:w="678"/>
        <w:gridCol w:w="856"/>
        <w:gridCol w:w="845"/>
        <w:gridCol w:w="845"/>
        <w:gridCol w:w="5298"/>
      </w:tblGrid>
      <w:tr w14:paraId="5BC83051">
        <w:tblPrEx>
          <w:tblCellMar>
            <w:top w:w="0" w:type="dxa"/>
            <w:left w:w="108" w:type="dxa"/>
            <w:bottom w:w="0" w:type="dxa"/>
            <w:right w:w="108" w:type="dxa"/>
          </w:tblCellMar>
        </w:tblPrEx>
        <w:trPr>
          <w:cantSplit/>
          <w:trHeight w:val="270" w:hRule="atLeast"/>
          <w:jc w:val="center"/>
        </w:trPr>
        <w:tc>
          <w:tcPr>
            <w:tcW w:w="900" w:type="pct"/>
            <w:gridSpan w:val="2"/>
            <w:vMerge w:val="restart"/>
            <w:tcBorders>
              <w:top w:val="single" w:color="auto" w:sz="12" w:space="0"/>
              <w:left w:val="single" w:color="auto" w:sz="12" w:space="0"/>
              <w:bottom w:val="single" w:color="auto" w:sz="4" w:space="0"/>
              <w:right w:val="single" w:color="auto" w:sz="4" w:space="0"/>
            </w:tcBorders>
            <w:shd w:val="clear" w:color="auto" w:fill="D9D9D9"/>
            <w:vAlign w:val="center"/>
          </w:tcPr>
          <w:p w14:paraId="0546D973">
            <w:pPr>
              <w:jc w:val="center"/>
              <w:rPr>
                <w:szCs w:val="24"/>
              </w:rPr>
            </w:pPr>
            <w:r>
              <w:rPr>
                <w:rFonts w:hint="eastAsia"/>
                <w:szCs w:val="24"/>
              </w:rPr>
              <w:t>声环境</w:t>
            </w:r>
          </w:p>
          <w:p w14:paraId="0A10B545">
            <w:pPr>
              <w:jc w:val="center"/>
              <w:rPr>
                <w:szCs w:val="24"/>
              </w:rPr>
            </w:pPr>
            <w:r>
              <w:rPr>
                <w:rFonts w:hint="eastAsia"/>
                <w:szCs w:val="24"/>
              </w:rPr>
              <w:t>功能区类别</w:t>
            </w:r>
          </w:p>
        </w:tc>
        <w:tc>
          <w:tcPr>
            <w:tcW w:w="992" w:type="pct"/>
            <w:gridSpan w:val="2"/>
            <w:tcBorders>
              <w:top w:val="single" w:color="auto" w:sz="12" w:space="0"/>
              <w:left w:val="nil"/>
              <w:bottom w:val="single" w:color="auto" w:sz="4" w:space="0"/>
              <w:right w:val="single" w:color="auto" w:sz="4" w:space="0"/>
            </w:tcBorders>
            <w:shd w:val="clear" w:color="auto" w:fill="D9D9D9"/>
            <w:noWrap/>
            <w:vAlign w:val="center"/>
          </w:tcPr>
          <w:p w14:paraId="3E06DD27">
            <w:pPr>
              <w:jc w:val="center"/>
              <w:rPr>
                <w:szCs w:val="24"/>
              </w:rPr>
            </w:pPr>
            <w:r>
              <w:rPr>
                <w:rFonts w:hint="eastAsia"/>
                <w:szCs w:val="24"/>
              </w:rPr>
              <w:t>时段</w:t>
            </w:r>
          </w:p>
        </w:tc>
        <w:tc>
          <w:tcPr>
            <w:tcW w:w="3108" w:type="pct"/>
            <w:vMerge w:val="restart"/>
            <w:tcBorders>
              <w:top w:val="single" w:color="auto" w:sz="12" w:space="0"/>
              <w:left w:val="single" w:color="auto" w:sz="4" w:space="0"/>
              <w:bottom w:val="single" w:color="auto" w:sz="4" w:space="0"/>
              <w:right w:val="single" w:color="auto" w:sz="12" w:space="0"/>
            </w:tcBorders>
            <w:shd w:val="clear" w:color="auto" w:fill="D9D9D9"/>
            <w:noWrap/>
            <w:vAlign w:val="center"/>
          </w:tcPr>
          <w:p w14:paraId="285EE6C7">
            <w:pPr>
              <w:jc w:val="center"/>
              <w:rPr>
                <w:szCs w:val="24"/>
              </w:rPr>
            </w:pPr>
            <w:r>
              <w:rPr>
                <w:rFonts w:hint="eastAsia"/>
                <w:szCs w:val="24"/>
              </w:rPr>
              <w:t>适用范围</w:t>
            </w:r>
          </w:p>
        </w:tc>
      </w:tr>
      <w:tr w14:paraId="793281BC">
        <w:tblPrEx>
          <w:tblCellMar>
            <w:top w:w="0" w:type="dxa"/>
            <w:left w:w="108" w:type="dxa"/>
            <w:bottom w:w="0" w:type="dxa"/>
            <w:right w:w="108" w:type="dxa"/>
          </w:tblCellMar>
        </w:tblPrEx>
        <w:trPr>
          <w:cantSplit/>
          <w:trHeight w:val="592" w:hRule="atLeast"/>
          <w:jc w:val="center"/>
        </w:trPr>
        <w:tc>
          <w:tcPr>
            <w:tcW w:w="900" w:type="pct"/>
            <w:gridSpan w:val="2"/>
            <w:vMerge w:val="continue"/>
            <w:tcBorders>
              <w:top w:val="single" w:color="auto" w:sz="4" w:space="0"/>
              <w:left w:val="single" w:color="auto" w:sz="12" w:space="0"/>
              <w:bottom w:val="single" w:color="auto" w:sz="4" w:space="0"/>
              <w:right w:val="single" w:color="auto" w:sz="4" w:space="0"/>
            </w:tcBorders>
            <w:vAlign w:val="center"/>
          </w:tcPr>
          <w:p w14:paraId="29F26CF7">
            <w:pPr>
              <w:jc w:val="center"/>
              <w:rPr>
                <w:szCs w:val="24"/>
              </w:rPr>
            </w:pPr>
          </w:p>
        </w:tc>
        <w:tc>
          <w:tcPr>
            <w:tcW w:w="496" w:type="pct"/>
            <w:tcBorders>
              <w:top w:val="nil"/>
              <w:left w:val="nil"/>
              <w:bottom w:val="single" w:color="auto" w:sz="4" w:space="0"/>
              <w:right w:val="single" w:color="auto" w:sz="4" w:space="0"/>
            </w:tcBorders>
            <w:shd w:val="clear" w:color="auto" w:fill="D9D9D9"/>
            <w:noWrap/>
            <w:vAlign w:val="center"/>
          </w:tcPr>
          <w:p w14:paraId="544B1BE4">
            <w:pPr>
              <w:jc w:val="center"/>
              <w:rPr>
                <w:szCs w:val="24"/>
              </w:rPr>
            </w:pPr>
            <w:r>
              <w:rPr>
                <w:rFonts w:hint="eastAsia"/>
                <w:szCs w:val="24"/>
              </w:rPr>
              <w:t>昼间</w:t>
            </w:r>
          </w:p>
        </w:tc>
        <w:tc>
          <w:tcPr>
            <w:tcW w:w="496" w:type="pct"/>
            <w:tcBorders>
              <w:top w:val="nil"/>
              <w:left w:val="nil"/>
              <w:bottom w:val="single" w:color="auto" w:sz="4" w:space="0"/>
              <w:right w:val="single" w:color="auto" w:sz="4" w:space="0"/>
            </w:tcBorders>
            <w:shd w:val="clear" w:color="auto" w:fill="D9D9D9"/>
            <w:noWrap/>
            <w:vAlign w:val="center"/>
          </w:tcPr>
          <w:p w14:paraId="6079E3B3">
            <w:pPr>
              <w:jc w:val="center"/>
              <w:rPr>
                <w:szCs w:val="24"/>
              </w:rPr>
            </w:pPr>
            <w:r>
              <w:rPr>
                <w:rFonts w:hint="eastAsia"/>
                <w:szCs w:val="24"/>
              </w:rPr>
              <w:t>夜间</w:t>
            </w:r>
          </w:p>
        </w:tc>
        <w:tc>
          <w:tcPr>
            <w:tcW w:w="3108" w:type="pct"/>
            <w:vMerge w:val="continue"/>
            <w:tcBorders>
              <w:top w:val="single" w:color="auto" w:sz="4" w:space="0"/>
              <w:left w:val="single" w:color="auto" w:sz="4" w:space="0"/>
              <w:bottom w:val="single" w:color="auto" w:sz="4" w:space="0"/>
              <w:right w:val="single" w:color="auto" w:sz="12" w:space="0"/>
            </w:tcBorders>
            <w:shd w:val="clear" w:color="auto" w:fill="D9D9D9"/>
            <w:vAlign w:val="center"/>
          </w:tcPr>
          <w:p w14:paraId="3F213D1E">
            <w:pPr>
              <w:jc w:val="center"/>
              <w:rPr>
                <w:szCs w:val="24"/>
              </w:rPr>
            </w:pPr>
          </w:p>
        </w:tc>
      </w:tr>
      <w:tr w14:paraId="5A737D75">
        <w:tblPrEx>
          <w:tblCellMar>
            <w:top w:w="0" w:type="dxa"/>
            <w:left w:w="108" w:type="dxa"/>
            <w:bottom w:w="0" w:type="dxa"/>
            <w:right w:w="108" w:type="dxa"/>
          </w:tblCellMar>
        </w:tblPrEx>
        <w:trPr>
          <w:cantSplit/>
          <w:trHeight w:val="285"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14:paraId="21A80156">
            <w:pPr>
              <w:jc w:val="center"/>
              <w:rPr>
                <w:szCs w:val="24"/>
              </w:rPr>
            </w:pPr>
            <w:r>
              <w:rPr>
                <w:szCs w:val="24"/>
              </w:rPr>
              <w:t>0类</w:t>
            </w:r>
          </w:p>
        </w:tc>
        <w:tc>
          <w:tcPr>
            <w:tcW w:w="496" w:type="pct"/>
            <w:tcBorders>
              <w:top w:val="nil"/>
              <w:left w:val="nil"/>
              <w:bottom w:val="single" w:color="auto" w:sz="4" w:space="0"/>
              <w:right w:val="single" w:color="auto" w:sz="4" w:space="0"/>
            </w:tcBorders>
            <w:shd w:val="clear" w:color="auto" w:fill="auto"/>
            <w:noWrap/>
            <w:vAlign w:val="center"/>
          </w:tcPr>
          <w:p w14:paraId="4547F36B">
            <w:pPr>
              <w:jc w:val="center"/>
              <w:rPr>
                <w:szCs w:val="24"/>
              </w:rPr>
            </w:pPr>
            <w:r>
              <w:rPr>
                <w:szCs w:val="24"/>
              </w:rPr>
              <w:t>50</w:t>
            </w:r>
          </w:p>
        </w:tc>
        <w:tc>
          <w:tcPr>
            <w:tcW w:w="496" w:type="pct"/>
            <w:tcBorders>
              <w:top w:val="nil"/>
              <w:left w:val="nil"/>
              <w:bottom w:val="single" w:color="auto" w:sz="4" w:space="0"/>
              <w:right w:val="single" w:color="auto" w:sz="4" w:space="0"/>
            </w:tcBorders>
            <w:shd w:val="clear" w:color="auto" w:fill="auto"/>
            <w:noWrap/>
            <w:vAlign w:val="center"/>
          </w:tcPr>
          <w:p w14:paraId="74522C08">
            <w:pPr>
              <w:jc w:val="center"/>
              <w:rPr>
                <w:szCs w:val="24"/>
              </w:rPr>
            </w:pPr>
            <w:r>
              <w:rPr>
                <w:szCs w:val="24"/>
              </w:rPr>
              <w:t>40</w:t>
            </w:r>
          </w:p>
        </w:tc>
        <w:tc>
          <w:tcPr>
            <w:tcW w:w="3108" w:type="pct"/>
            <w:tcBorders>
              <w:top w:val="nil"/>
              <w:left w:val="nil"/>
              <w:bottom w:val="single" w:color="auto" w:sz="4" w:space="0"/>
              <w:right w:val="single" w:color="auto" w:sz="12" w:space="0"/>
            </w:tcBorders>
            <w:shd w:val="clear" w:color="auto" w:fill="auto"/>
            <w:vAlign w:val="center"/>
          </w:tcPr>
          <w:p w14:paraId="0F7018C9">
            <w:pPr>
              <w:rPr>
                <w:szCs w:val="24"/>
              </w:rPr>
            </w:pPr>
            <w:r>
              <w:rPr>
                <w:rFonts w:hint="eastAsia"/>
                <w:szCs w:val="24"/>
              </w:rPr>
              <w:t>指康复疗养区等特别需要安静的区域</w:t>
            </w:r>
          </w:p>
        </w:tc>
      </w:tr>
      <w:tr w14:paraId="1FD8F6DC">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14:paraId="1BA0D250">
            <w:pPr>
              <w:jc w:val="center"/>
              <w:rPr>
                <w:szCs w:val="24"/>
              </w:rPr>
            </w:pPr>
            <w:r>
              <w:rPr>
                <w:szCs w:val="24"/>
              </w:rPr>
              <w:t>1类</w:t>
            </w:r>
          </w:p>
        </w:tc>
        <w:tc>
          <w:tcPr>
            <w:tcW w:w="496" w:type="pct"/>
            <w:tcBorders>
              <w:top w:val="nil"/>
              <w:left w:val="nil"/>
              <w:bottom w:val="single" w:color="auto" w:sz="4" w:space="0"/>
              <w:right w:val="single" w:color="auto" w:sz="4" w:space="0"/>
            </w:tcBorders>
            <w:shd w:val="clear" w:color="auto" w:fill="auto"/>
            <w:noWrap/>
            <w:vAlign w:val="center"/>
          </w:tcPr>
          <w:p w14:paraId="03B1149E">
            <w:pPr>
              <w:jc w:val="center"/>
              <w:rPr>
                <w:szCs w:val="24"/>
              </w:rPr>
            </w:pPr>
            <w:r>
              <w:rPr>
                <w:szCs w:val="24"/>
              </w:rPr>
              <w:t>55</w:t>
            </w:r>
          </w:p>
        </w:tc>
        <w:tc>
          <w:tcPr>
            <w:tcW w:w="496" w:type="pct"/>
            <w:tcBorders>
              <w:top w:val="nil"/>
              <w:left w:val="nil"/>
              <w:bottom w:val="single" w:color="auto" w:sz="4" w:space="0"/>
              <w:right w:val="single" w:color="auto" w:sz="4" w:space="0"/>
            </w:tcBorders>
            <w:shd w:val="clear" w:color="auto" w:fill="auto"/>
            <w:noWrap/>
            <w:vAlign w:val="center"/>
          </w:tcPr>
          <w:p w14:paraId="3B70A4CD">
            <w:pPr>
              <w:jc w:val="center"/>
              <w:rPr>
                <w:szCs w:val="24"/>
              </w:rPr>
            </w:pPr>
            <w:r>
              <w:rPr>
                <w:szCs w:val="24"/>
              </w:rPr>
              <w:t>45</w:t>
            </w:r>
          </w:p>
        </w:tc>
        <w:tc>
          <w:tcPr>
            <w:tcW w:w="3108" w:type="pct"/>
            <w:tcBorders>
              <w:top w:val="nil"/>
              <w:left w:val="nil"/>
              <w:bottom w:val="single" w:color="auto" w:sz="4" w:space="0"/>
              <w:right w:val="single" w:color="auto" w:sz="12" w:space="0"/>
            </w:tcBorders>
            <w:shd w:val="clear" w:color="auto" w:fill="auto"/>
            <w:vAlign w:val="center"/>
          </w:tcPr>
          <w:p w14:paraId="6B6F172D">
            <w:pPr>
              <w:rPr>
                <w:szCs w:val="24"/>
              </w:rPr>
            </w:pPr>
            <w:r>
              <w:rPr>
                <w:rFonts w:hint="eastAsia"/>
                <w:szCs w:val="24"/>
              </w:rPr>
              <w:t>指以居民住宅、医疗卫生、文化教育、科研设计、行政办公为主要功能，需要保持安静的区域。</w:t>
            </w:r>
          </w:p>
        </w:tc>
      </w:tr>
      <w:tr w14:paraId="020206BC">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14:paraId="618323C5">
            <w:pPr>
              <w:jc w:val="center"/>
              <w:rPr>
                <w:szCs w:val="24"/>
              </w:rPr>
            </w:pPr>
            <w:r>
              <w:rPr>
                <w:szCs w:val="24"/>
              </w:rPr>
              <w:t>2类</w:t>
            </w:r>
          </w:p>
        </w:tc>
        <w:tc>
          <w:tcPr>
            <w:tcW w:w="496" w:type="pct"/>
            <w:tcBorders>
              <w:top w:val="nil"/>
              <w:left w:val="nil"/>
              <w:bottom w:val="single" w:color="auto" w:sz="4" w:space="0"/>
              <w:right w:val="single" w:color="auto" w:sz="4" w:space="0"/>
            </w:tcBorders>
            <w:shd w:val="clear" w:color="auto" w:fill="auto"/>
            <w:noWrap/>
            <w:vAlign w:val="center"/>
          </w:tcPr>
          <w:p w14:paraId="7F003233">
            <w:pPr>
              <w:jc w:val="center"/>
              <w:rPr>
                <w:szCs w:val="24"/>
              </w:rPr>
            </w:pPr>
            <w:r>
              <w:rPr>
                <w:szCs w:val="24"/>
              </w:rPr>
              <w:t>60</w:t>
            </w:r>
          </w:p>
        </w:tc>
        <w:tc>
          <w:tcPr>
            <w:tcW w:w="496" w:type="pct"/>
            <w:tcBorders>
              <w:top w:val="nil"/>
              <w:left w:val="nil"/>
              <w:bottom w:val="single" w:color="auto" w:sz="4" w:space="0"/>
              <w:right w:val="single" w:color="auto" w:sz="4" w:space="0"/>
            </w:tcBorders>
            <w:shd w:val="clear" w:color="auto" w:fill="auto"/>
            <w:noWrap/>
            <w:vAlign w:val="center"/>
          </w:tcPr>
          <w:p w14:paraId="4592D579">
            <w:pPr>
              <w:jc w:val="center"/>
              <w:rPr>
                <w:szCs w:val="24"/>
              </w:rPr>
            </w:pPr>
            <w:r>
              <w:rPr>
                <w:szCs w:val="24"/>
              </w:rPr>
              <w:t>50</w:t>
            </w:r>
          </w:p>
        </w:tc>
        <w:tc>
          <w:tcPr>
            <w:tcW w:w="3108" w:type="pct"/>
            <w:tcBorders>
              <w:top w:val="nil"/>
              <w:left w:val="nil"/>
              <w:bottom w:val="single" w:color="auto" w:sz="4" w:space="0"/>
              <w:right w:val="single" w:color="auto" w:sz="12" w:space="0"/>
            </w:tcBorders>
            <w:shd w:val="clear" w:color="auto" w:fill="auto"/>
            <w:vAlign w:val="center"/>
          </w:tcPr>
          <w:p w14:paraId="2D14620B">
            <w:pPr>
              <w:rPr>
                <w:szCs w:val="24"/>
              </w:rPr>
            </w:pPr>
            <w:r>
              <w:rPr>
                <w:rFonts w:hint="eastAsia"/>
                <w:szCs w:val="24"/>
              </w:rPr>
              <w:t>指以商业金融、集市贸易为主要功能，或者居住、商业、 工业混杂，需要维护住宅安静的区域。</w:t>
            </w:r>
          </w:p>
        </w:tc>
      </w:tr>
      <w:tr w14:paraId="4A4F5F6A">
        <w:tblPrEx>
          <w:tblCellMar>
            <w:top w:w="0" w:type="dxa"/>
            <w:left w:w="108" w:type="dxa"/>
            <w:bottom w:w="0" w:type="dxa"/>
            <w:right w:w="108" w:type="dxa"/>
          </w:tblCellMar>
        </w:tblPrEx>
        <w:trPr>
          <w:cantSplit/>
          <w:trHeight w:val="54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14:paraId="22C8F965">
            <w:pPr>
              <w:jc w:val="center"/>
              <w:rPr>
                <w:szCs w:val="24"/>
              </w:rPr>
            </w:pPr>
            <w:r>
              <w:rPr>
                <w:szCs w:val="24"/>
              </w:rPr>
              <w:t>3类</w:t>
            </w:r>
          </w:p>
        </w:tc>
        <w:tc>
          <w:tcPr>
            <w:tcW w:w="496" w:type="pct"/>
            <w:tcBorders>
              <w:top w:val="nil"/>
              <w:left w:val="nil"/>
              <w:bottom w:val="single" w:color="auto" w:sz="4" w:space="0"/>
              <w:right w:val="single" w:color="auto" w:sz="4" w:space="0"/>
            </w:tcBorders>
            <w:shd w:val="clear" w:color="auto" w:fill="auto"/>
            <w:noWrap/>
            <w:vAlign w:val="center"/>
          </w:tcPr>
          <w:p w14:paraId="131459C9">
            <w:pPr>
              <w:jc w:val="center"/>
              <w:rPr>
                <w:szCs w:val="24"/>
              </w:rPr>
            </w:pPr>
            <w:r>
              <w:rPr>
                <w:szCs w:val="24"/>
              </w:rPr>
              <w:t>65</w:t>
            </w:r>
          </w:p>
        </w:tc>
        <w:tc>
          <w:tcPr>
            <w:tcW w:w="496" w:type="pct"/>
            <w:tcBorders>
              <w:top w:val="nil"/>
              <w:left w:val="nil"/>
              <w:bottom w:val="single" w:color="auto" w:sz="4" w:space="0"/>
              <w:right w:val="single" w:color="auto" w:sz="4" w:space="0"/>
            </w:tcBorders>
            <w:shd w:val="clear" w:color="auto" w:fill="auto"/>
            <w:noWrap/>
            <w:vAlign w:val="center"/>
          </w:tcPr>
          <w:p w14:paraId="0EC52015">
            <w:pPr>
              <w:jc w:val="center"/>
              <w:rPr>
                <w:szCs w:val="24"/>
              </w:rPr>
            </w:pPr>
            <w:r>
              <w:rPr>
                <w:szCs w:val="24"/>
              </w:rPr>
              <w:t>55</w:t>
            </w:r>
          </w:p>
        </w:tc>
        <w:tc>
          <w:tcPr>
            <w:tcW w:w="3108" w:type="pct"/>
            <w:tcBorders>
              <w:top w:val="nil"/>
              <w:left w:val="nil"/>
              <w:bottom w:val="single" w:color="auto" w:sz="4" w:space="0"/>
              <w:right w:val="single" w:color="auto" w:sz="12" w:space="0"/>
            </w:tcBorders>
            <w:shd w:val="clear" w:color="auto" w:fill="auto"/>
            <w:vAlign w:val="center"/>
          </w:tcPr>
          <w:p w14:paraId="3B6C719D">
            <w:pPr>
              <w:rPr>
                <w:szCs w:val="24"/>
              </w:rPr>
            </w:pPr>
            <w:r>
              <w:rPr>
                <w:rFonts w:hint="eastAsia"/>
                <w:szCs w:val="24"/>
              </w:rPr>
              <w:t>指以工业生产、仓储物流为主要功能，需要防止工业噪声对周围环境产生严重影响的区域。</w:t>
            </w:r>
          </w:p>
        </w:tc>
      </w:tr>
      <w:tr w14:paraId="4195E563">
        <w:tblPrEx>
          <w:tblCellMar>
            <w:top w:w="0" w:type="dxa"/>
            <w:left w:w="108" w:type="dxa"/>
            <w:bottom w:w="0" w:type="dxa"/>
            <w:right w:w="108" w:type="dxa"/>
          </w:tblCellMar>
        </w:tblPrEx>
        <w:trPr>
          <w:cantSplit/>
          <w:trHeight w:val="810" w:hRule="atLeast"/>
          <w:jc w:val="center"/>
        </w:trPr>
        <w:tc>
          <w:tcPr>
            <w:tcW w:w="398" w:type="pct"/>
            <w:vMerge w:val="restart"/>
            <w:tcBorders>
              <w:top w:val="nil"/>
              <w:left w:val="single" w:color="auto" w:sz="12" w:space="0"/>
              <w:bottom w:val="single" w:color="auto" w:sz="4" w:space="0"/>
              <w:right w:val="single" w:color="auto" w:sz="4" w:space="0"/>
            </w:tcBorders>
            <w:shd w:val="clear" w:color="auto" w:fill="auto"/>
            <w:noWrap/>
            <w:vAlign w:val="center"/>
          </w:tcPr>
          <w:p w14:paraId="620C3501">
            <w:pPr>
              <w:jc w:val="center"/>
              <w:rPr>
                <w:szCs w:val="24"/>
              </w:rPr>
            </w:pPr>
            <w:r>
              <w:rPr>
                <w:szCs w:val="24"/>
              </w:rPr>
              <w:t>4类</w:t>
            </w:r>
          </w:p>
        </w:tc>
        <w:tc>
          <w:tcPr>
            <w:tcW w:w="502" w:type="pct"/>
            <w:tcBorders>
              <w:top w:val="nil"/>
              <w:left w:val="nil"/>
              <w:bottom w:val="single" w:color="auto" w:sz="4" w:space="0"/>
              <w:right w:val="single" w:color="auto" w:sz="4" w:space="0"/>
            </w:tcBorders>
            <w:shd w:val="clear" w:color="auto" w:fill="auto"/>
            <w:noWrap/>
            <w:vAlign w:val="center"/>
          </w:tcPr>
          <w:p w14:paraId="095A5CDB">
            <w:pPr>
              <w:jc w:val="center"/>
              <w:rPr>
                <w:szCs w:val="24"/>
              </w:rPr>
            </w:pPr>
            <w:r>
              <w:rPr>
                <w:szCs w:val="24"/>
              </w:rPr>
              <w:t>4a类</w:t>
            </w:r>
          </w:p>
        </w:tc>
        <w:tc>
          <w:tcPr>
            <w:tcW w:w="496" w:type="pct"/>
            <w:tcBorders>
              <w:top w:val="nil"/>
              <w:left w:val="nil"/>
              <w:bottom w:val="single" w:color="auto" w:sz="4" w:space="0"/>
              <w:right w:val="single" w:color="auto" w:sz="4" w:space="0"/>
            </w:tcBorders>
            <w:shd w:val="clear" w:color="auto" w:fill="auto"/>
            <w:noWrap/>
            <w:vAlign w:val="center"/>
          </w:tcPr>
          <w:p w14:paraId="6AA8E9D7">
            <w:pPr>
              <w:jc w:val="center"/>
              <w:rPr>
                <w:szCs w:val="24"/>
              </w:rPr>
            </w:pPr>
            <w:r>
              <w:rPr>
                <w:szCs w:val="24"/>
              </w:rPr>
              <w:t>70</w:t>
            </w:r>
          </w:p>
        </w:tc>
        <w:tc>
          <w:tcPr>
            <w:tcW w:w="496" w:type="pct"/>
            <w:tcBorders>
              <w:top w:val="nil"/>
              <w:left w:val="nil"/>
              <w:bottom w:val="single" w:color="auto" w:sz="4" w:space="0"/>
              <w:right w:val="single" w:color="auto" w:sz="4" w:space="0"/>
            </w:tcBorders>
            <w:shd w:val="clear" w:color="auto" w:fill="auto"/>
            <w:noWrap/>
            <w:vAlign w:val="center"/>
          </w:tcPr>
          <w:p w14:paraId="6D1FC45B">
            <w:pPr>
              <w:jc w:val="center"/>
              <w:rPr>
                <w:szCs w:val="24"/>
              </w:rPr>
            </w:pPr>
            <w:r>
              <w:rPr>
                <w:szCs w:val="24"/>
              </w:rPr>
              <w:t>55</w:t>
            </w:r>
          </w:p>
        </w:tc>
        <w:tc>
          <w:tcPr>
            <w:tcW w:w="3108" w:type="pct"/>
            <w:tcBorders>
              <w:top w:val="nil"/>
              <w:left w:val="nil"/>
              <w:bottom w:val="single" w:color="auto" w:sz="4" w:space="0"/>
              <w:right w:val="single" w:color="auto" w:sz="12" w:space="0"/>
            </w:tcBorders>
            <w:shd w:val="clear" w:color="auto" w:fill="auto"/>
            <w:vAlign w:val="center"/>
          </w:tcPr>
          <w:p w14:paraId="76BCBC6F">
            <w:pPr>
              <w:rPr>
                <w:szCs w:val="24"/>
              </w:rPr>
            </w:pPr>
            <w:r>
              <w:rPr>
                <w:rFonts w:hint="eastAsia"/>
                <w:szCs w:val="24"/>
              </w:rPr>
              <w:t>适用于高速公路、一级公路、二级公路、城市快速路、城市主干路、城市次干路、城市轨道交通、内河航道两侧一定距离之内，需要防止交通噪声对周围环境产生严重影响的区域。</w:t>
            </w:r>
          </w:p>
        </w:tc>
      </w:tr>
      <w:tr w14:paraId="05EAB37F">
        <w:tblPrEx>
          <w:tblCellMar>
            <w:top w:w="0" w:type="dxa"/>
            <w:left w:w="108" w:type="dxa"/>
            <w:bottom w:w="0" w:type="dxa"/>
            <w:right w:w="108" w:type="dxa"/>
          </w:tblCellMar>
        </w:tblPrEx>
        <w:trPr>
          <w:cantSplit/>
          <w:trHeight w:val="540" w:hRule="atLeast"/>
          <w:jc w:val="center"/>
        </w:trPr>
        <w:tc>
          <w:tcPr>
            <w:tcW w:w="398" w:type="pct"/>
            <w:vMerge w:val="continue"/>
            <w:tcBorders>
              <w:top w:val="nil"/>
              <w:left w:val="single" w:color="auto" w:sz="12" w:space="0"/>
              <w:bottom w:val="single" w:color="auto" w:sz="12" w:space="0"/>
              <w:right w:val="single" w:color="auto" w:sz="4" w:space="0"/>
            </w:tcBorders>
            <w:vAlign w:val="center"/>
          </w:tcPr>
          <w:p w14:paraId="2E8DD292">
            <w:pPr>
              <w:jc w:val="center"/>
              <w:rPr>
                <w:szCs w:val="24"/>
              </w:rPr>
            </w:pPr>
          </w:p>
        </w:tc>
        <w:tc>
          <w:tcPr>
            <w:tcW w:w="502" w:type="pct"/>
            <w:tcBorders>
              <w:top w:val="nil"/>
              <w:left w:val="nil"/>
              <w:bottom w:val="single" w:color="auto" w:sz="12" w:space="0"/>
              <w:right w:val="single" w:color="auto" w:sz="4" w:space="0"/>
            </w:tcBorders>
            <w:shd w:val="clear" w:color="auto" w:fill="auto"/>
            <w:noWrap/>
            <w:vAlign w:val="center"/>
          </w:tcPr>
          <w:p w14:paraId="11D3E915">
            <w:pPr>
              <w:jc w:val="center"/>
              <w:rPr>
                <w:szCs w:val="24"/>
              </w:rPr>
            </w:pPr>
            <w:r>
              <w:rPr>
                <w:szCs w:val="24"/>
              </w:rPr>
              <w:t>4b类</w:t>
            </w:r>
          </w:p>
        </w:tc>
        <w:tc>
          <w:tcPr>
            <w:tcW w:w="496" w:type="pct"/>
            <w:tcBorders>
              <w:top w:val="nil"/>
              <w:left w:val="nil"/>
              <w:bottom w:val="single" w:color="auto" w:sz="12" w:space="0"/>
              <w:right w:val="single" w:color="auto" w:sz="4" w:space="0"/>
            </w:tcBorders>
            <w:shd w:val="clear" w:color="auto" w:fill="auto"/>
            <w:noWrap/>
            <w:vAlign w:val="center"/>
          </w:tcPr>
          <w:p w14:paraId="09A18D65">
            <w:pPr>
              <w:jc w:val="center"/>
              <w:rPr>
                <w:szCs w:val="24"/>
              </w:rPr>
            </w:pPr>
            <w:r>
              <w:rPr>
                <w:szCs w:val="24"/>
              </w:rPr>
              <w:t>70</w:t>
            </w:r>
          </w:p>
        </w:tc>
        <w:tc>
          <w:tcPr>
            <w:tcW w:w="496" w:type="pct"/>
            <w:tcBorders>
              <w:top w:val="nil"/>
              <w:left w:val="nil"/>
              <w:bottom w:val="single" w:color="auto" w:sz="12" w:space="0"/>
              <w:right w:val="single" w:color="auto" w:sz="4" w:space="0"/>
            </w:tcBorders>
            <w:shd w:val="clear" w:color="auto" w:fill="auto"/>
            <w:noWrap/>
            <w:vAlign w:val="center"/>
          </w:tcPr>
          <w:p w14:paraId="15BA091A">
            <w:pPr>
              <w:jc w:val="center"/>
              <w:rPr>
                <w:szCs w:val="24"/>
              </w:rPr>
            </w:pPr>
            <w:r>
              <w:rPr>
                <w:szCs w:val="24"/>
              </w:rPr>
              <w:t>60</w:t>
            </w:r>
          </w:p>
        </w:tc>
        <w:tc>
          <w:tcPr>
            <w:tcW w:w="3108" w:type="pct"/>
            <w:tcBorders>
              <w:top w:val="nil"/>
              <w:left w:val="nil"/>
              <w:bottom w:val="single" w:color="auto" w:sz="12" w:space="0"/>
              <w:right w:val="single" w:color="auto" w:sz="12" w:space="0"/>
            </w:tcBorders>
            <w:shd w:val="clear" w:color="auto" w:fill="auto"/>
            <w:vAlign w:val="center"/>
          </w:tcPr>
          <w:p w14:paraId="1CFBE0C5">
            <w:pPr>
              <w:rPr>
                <w:szCs w:val="24"/>
              </w:rPr>
            </w:pPr>
            <w:r>
              <w:rPr>
                <w:rFonts w:hint="eastAsia"/>
                <w:szCs w:val="24"/>
              </w:rPr>
              <w:t>适用于铁路干线两侧一定距离之内，需要防止交通噪声对周围环境产生严重影响的区域。</w:t>
            </w:r>
          </w:p>
        </w:tc>
      </w:tr>
    </w:tbl>
    <w:p w14:paraId="17F4BF05">
      <w:pPr>
        <w:pStyle w:val="33"/>
        <w:spacing w:line="276" w:lineRule="auto"/>
        <w:ind w:left="210" w:leftChars="100" w:firstLine="0" w:firstLineChars="0"/>
        <w:rPr>
          <w:rFonts w:ascii="微软雅黑" w:hAnsi="微软雅黑"/>
          <w:sz w:val="16"/>
        </w:rPr>
      </w:pPr>
      <w:r>
        <w:rPr>
          <w:rFonts w:hint="eastAsia" w:ascii="微软雅黑" w:hAnsi="微软雅黑"/>
          <w:sz w:val="16"/>
        </w:rPr>
        <w:t>注：</w:t>
      </w:r>
    </w:p>
    <w:p w14:paraId="2350D8EB">
      <w:pPr>
        <w:pStyle w:val="33"/>
        <w:spacing w:line="276" w:lineRule="auto"/>
        <w:ind w:left="210" w:leftChars="100" w:firstLine="0" w:firstLineChars="0"/>
        <w:rPr>
          <w:rFonts w:ascii="微软雅黑" w:hAnsi="微软雅黑"/>
          <w:sz w:val="16"/>
        </w:rPr>
      </w:pPr>
      <w:r>
        <w:rPr>
          <w:rFonts w:hint="eastAsia" w:ascii="微软雅黑" w:hAnsi="微软雅黑"/>
          <w:sz w:val="16"/>
        </w:rPr>
        <w:t>1.</w:t>
      </w:r>
      <w:r>
        <w:rPr>
          <w:rFonts w:ascii="微软雅黑" w:hAnsi="微软雅黑"/>
          <w:sz w:val="16"/>
        </w:rPr>
        <w:t xml:space="preserve"> </w:t>
      </w:r>
      <w:r>
        <w:rPr>
          <w:rFonts w:hint="eastAsia" w:ascii="微软雅黑" w:hAnsi="微软雅黑"/>
          <w:sz w:val="16"/>
        </w:rPr>
        <w:t>根据《中华人民</w:t>
      </w:r>
      <w:r>
        <w:rPr>
          <w:rFonts w:ascii="微软雅黑" w:hAnsi="微软雅黑"/>
          <w:sz w:val="16"/>
        </w:rPr>
        <w:t>共和国环境</w:t>
      </w:r>
      <w:r>
        <w:rPr>
          <w:rFonts w:hint="eastAsia" w:ascii="微软雅黑" w:hAnsi="微软雅黑"/>
          <w:sz w:val="16"/>
        </w:rPr>
        <w:t>噪声</w:t>
      </w:r>
      <w:r>
        <w:rPr>
          <w:rFonts w:ascii="微软雅黑" w:hAnsi="微软雅黑"/>
          <w:sz w:val="16"/>
        </w:rPr>
        <w:t>污染防治法</w:t>
      </w:r>
      <w:r>
        <w:rPr>
          <w:rFonts w:hint="eastAsia" w:ascii="微软雅黑" w:hAnsi="微软雅黑"/>
          <w:sz w:val="16"/>
        </w:rPr>
        <w:t>》，“昼间”是指6:00至22:00之间</w:t>
      </w:r>
      <w:r>
        <w:rPr>
          <w:rFonts w:ascii="微软雅黑" w:hAnsi="微软雅黑"/>
          <w:sz w:val="16"/>
        </w:rPr>
        <w:t>的时段；</w:t>
      </w:r>
      <w:r>
        <w:rPr>
          <w:rFonts w:hint="eastAsia" w:ascii="微软雅黑" w:hAnsi="微软雅黑"/>
          <w:sz w:val="16"/>
        </w:rPr>
        <w:t>“夜间”是指22：00至</w:t>
      </w:r>
      <w:r>
        <w:rPr>
          <w:rFonts w:ascii="微软雅黑" w:hAnsi="微软雅黑"/>
          <w:sz w:val="16"/>
        </w:rPr>
        <w:t>次日</w:t>
      </w:r>
      <w:r>
        <w:rPr>
          <w:rFonts w:hint="eastAsia" w:ascii="微软雅黑" w:hAnsi="微软雅黑"/>
          <w:sz w:val="16"/>
        </w:rPr>
        <w:t>6:00之间</w:t>
      </w:r>
      <w:r>
        <w:rPr>
          <w:rFonts w:ascii="微软雅黑" w:hAnsi="微软雅黑"/>
          <w:sz w:val="16"/>
        </w:rPr>
        <w:t>的时段。</w:t>
      </w:r>
    </w:p>
    <w:p w14:paraId="6F9E6864">
      <w:pPr>
        <w:pStyle w:val="33"/>
        <w:spacing w:line="276" w:lineRule="auto"/>
        <w:ind w:left="210" w:leftChars="100" w:firstLine="0" w:firstLineChars="0"/>
        <w:rPr>
          <w:rFonts w:ascii="微软雅黑" w:hAnsi="微软雅黑"/>
          <w:sz w:val="16"/>
        </w:rPr>
      </w:pPr>
      <w:r>
        <w:rPr>
          <w:rFonts w:hint="eastAsia" w:ascii="微软雅黑" w:hAnsi="微软雅黑"/>
          <w:sz w:val="16"/>
        </w:rPr>
        <w:t>2.</w:t>
      </w:r>
      <w:r>
        <w:rPr>
          <w:rFonts w:ascii="微软雅黑" w:hAnsi="微软雅黑"/>
          <w:sz w:val="16"/>
        </w:rPr>
        <w:t xml:space="preserve"> </w:t>
      </w:r>
      <w:r>
        <w:rPr>
          <w:rFonts w:hint="eastAsia" w:ascii="微软雅黑" w:hAnsi="微软雅黑"/>
          <w:sz w:val="16"/>
        </w:rPr>
        <w:t>表中4b类声环境功能区环境噪声限值，适用于2011 年1 月1 日起环境影响评价文件通过审批的新建铁路（含新开廊道的增建铁路）干线建设项目两侧区域。</w:t>
      </w:r>
    </w:p>
    <w:p w14:paraId="2B17A6EF">
      <w:pPr>
        <w:pStyle w:val="2"/>
        <w:rPr>
          <w:sz w:val="28"/>
          <w:szCs w:val="28"/>
        </w:rPr>
      </w:pPr>
      <w:bookmarkStart w:id="19" w:name="声功能区类别表格"/>
      <w:bookmarkEnd w:id="19"/>
      <w:bookmarkStart w:id="20" w:name="_Toc479326721"/>
      <w:bookmarkStart w:id="21" w:name="_Toc20672"/>
      <w:r>
        <w:rPr>
          <w:rFonts w:hint="eastAsia"/>
          <w:sz w:val="28"/>
          <w:szCs w:val="28"/>
        </w:rPr>
        <w:t>3.模拟</w:t>
      </w:r>
      <w:r>
        <w:rPr>
          <w:sz w:val="28"/>
          <w:szCs w:val="28"/>
        </w:rPr>
        <w:t>方法</w:t>
      </w:r>
      <w:bookmarkEnd w:id="20"/>
      <w:bookmarkEnd w:id="21"/>
    </w:p>
    <w:p w14:paraId="456BFA29">
      <w:pPr>
        <w:pStyle w:val="3"/>
        <w:rPr>
          <w:sz w:val="24"/>
          <w:szCs w:val="24"/>
        </w:rPr>
      </w:pPr>
      <w:bookmarkStart w:id="22" w:name="_Toc479326722"/>
      <w:bookmarkStart w:id="23" w:name="_Toc11419"/>
      <w:r>
        <w:rPr>
          <w:rFonts w:hint="eastAsia"/>
          <w:sz w:val="24"/>
          <w:szCs w:val="24"/>
        </w:rPr>
        <w:t>3.1模拟软件</w:t>
      </w:r>
      <w:bookmarkEnd w:id="22"/>
      <w:bookmarkEnd w:id="23"/>
    </w:p>
    <w:p w14:paraId="5A68E0D8">
      <w:pPr>
        <w:pStyle w:val="33"/>
        <w:spacing w:line="276" w:lineRule="auto"/>
        <w:ind w:firstLine="420"/>
        <w:rPr>
          <w:rFonts w:ascii="微软雅黑" w:hAnsi="微软雅黑" w:cs="Times New Roman"/>
          <w:sz w:val="21"/>
          <w:szCs w:val="21"/>
        </w:rPr>
      </w:pPr>
      <w:bookmarkStart w:id="24" w:name="_Toc479326723"/>
      <w:r>
        <w:rPr>
          <w:rFonts w:hint="eastAsia"/>
          <w:sz w:val="21"/>
          <w:szCs w:val="21"/>
        </w:rPr>
        <w:t>本报告采用建筑</w:t>
      </w:r>
      <w:r>
        <w:rPr>
          <w:sz w:val="21"/>
          <w:szCs w:val="21"/>
        </w:rPr>
        <w:t>声环境</w:t>
      </w:r>
      <w:r>
        <w:rPr>
          <w:rFonts w:ascii="微软雅黑" w:hAnsi="微软雅黑"/>
          <w:sz w:val="21"/>
          <w:szCs w:val="21"/>
        </w:rPr>
        <w:t>分析软件</w:t>
      </w:r>
      <w:r>
        <w:rPr>
          <w:rFonts w:hint="eastAsia" w:ascii="微软雅黑" w:hAnsi="微软雅黑"/>
          <w:sz w:val="21"/>
          <w:szCs w:val="21"/>
        </w:rPr>
        <w:t>S</w:t>
      </w:r>
      <w:r>
        <w:rPr>
          <w:rFonts w:ascii="微软雅黑" w:hAnsi="微软雅黑"/>
          <w:sz w:val="21"/>
          <w:szCs w:val="21"/>
        </w:rPr>
        <w:t>E</w:t>
      </w:r>
      <w:r>
        <w:rPr>
          <w:rFonts w:hint="eastAsia" w:ascii="微软雅黑" w:hAnsi="微软雅黑"/>
          <w:sz w:val="21"/>
          <w:szCs w:val="21"/>
        </w:rPr>
        <w:t>DU进行模拟计算分析。S</w:t>
      </w:r>
      <w:r>
        <w:rPr>
          <w:rFonts w:ascii="微软雅黑" w:hAnsi="微软雅黑"/>
          <w:sz w:val="21"/>
          <w:szCs w:val="21"/>
        </w:rPr>
        <w:t>E</w:t>
      </w:r>
      <w:r>
        <w:rPr>
          <w:rFonts w:hint="eastAsia" w:ascii="微软雅黑" w:hAnsi="微软雅黑"/>
          <w:sz w:val="21"/>
          <w:szCs w:val="21"/>
        </w:rPr>
        <w:t>DU是一</w:t>
      </w:r>
      <w:r>
        <w:rPr>
          <w:rFonts w:hint="eastAsia"/>
          <w:sz w:val="21"/>
          <w:szCs w:val="21"/>
        </w:rPr>
        <w:t>款可用</w:t>
      </w:r>
      <w:r>
        <w:rPr>
          <w:sz w:val="21"/>
          <w:szCs w:val="21"/>
        </w:rPr>
        <w:t>于</w:t>
      </w:r>
      <w:r>
        <w:rPr>
          <w:rFonts w:hint="eastAsia"/>
          <w:sz w:val="21"/>
          <w:szCs w:val="21"/>
        </w:rPr>
        <w:t>噪声</w:t>
      </w:r>
      <w:r>
        <w:rPr>
          <w:rFonts w:hint="eastAsia" w:ascii="微软雅黑" w:hAnsi="微软雅黑"/>
          <w:sz w:val="21"/>
          <w:szCs w:val="21"/>
        </w:rPr>
        <w:t>计算、评估和预测的软件，</w:t>
      </w:r>
      <w:r>
        <w:rPr>
          <w:rFonts w:ascii="微软雅黑" w:hAnsi="微软雅黑" w:cs="Times New Roman"/>
          <w:sz w:val="21"/>
          <w:szCs w:val="21"/>
        </w:rPr>
        <w:t>计算原理源于国际标准化组织规定的《户外声传播的衰减的计算方法</w:t>
      </w:r>
      <w:r>
        <w:rPr>
          <w:rFonts w:ascii="微软雅黑" w:hAnsi="微软雅黑" w:cs="Times New Roman"/>
          <w:spacing w:val="11"/>
          <w:kern w:val="0"/>
          <w:sz w:val="21"/>
          <w:szCs w:val="21"/>
          <w:fitText w:val="294" w:id="1672124160"/>
        </w:rPr>
        <w:t>》</w:t>
      </w:r>
      <w:r>
        <w:rPr>
          <w:rFonts w:ascii="微软雅黑" w:hAnsi="微软雅黑" w:cs="Times New Roman"/>
          <w:spacing w:val="0"/>
          <w:kern w:val="0"/>
          <w:sz w:val="21"/>
          <w:szCs w:val="21"/>
          <w:fitText w:val="294" w:id="1672124160"/>
        </w:rPr>
        <w:t>I</w:t>
      </w:r>
      <w:r>
        <w:rPr>
          <w:rFonts w:ascii="微软雅黑" w:hAnsi="微软雅黑" w:cs="Times New Roman"/>
          <w:sz w:val="21"/>
          <w:szCs w:val="21"/>
        </w:rPr>
        <w:t>SO 9613-2：1996、国内公布的《声学户外声传播的衰减第2部分：一般计算方法》GB/T 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14:paraId="0486922B">
      <w:pPr>
        <w:pStyle w:val="33"/>
        <w:spacing w:line="276" w:lineRule="auto"/>
        <w:ind w:firstLine="420"/>
        <w:rPr>
          <w:rFonts w:ascii="微软雅黑" w:hAnsi="微软雅黑"/>
          <w:sz w:val="21"/>
          <w:szCs w:val="21"/>
        </w:rPr>
      </w:pPr>
      <w:r>
        <w:rPr>
          <w:rFonts w:ascii="微软雅黑" w:hAnsi="微软雅黑" w:cs="Times New Roman"/>
          <w:sz w:val="21"/>
          <w:szCs w:val="21"/>
        </w:rPr>
        <w:t>考虑到本项目建成后周边噪声环境情况</w:t>
      </w:r>
      <w:r>
        <w:rPr>
          <w:rFonts w:hint="eastAsia" w:ascii="微软雅黑" w:hAnsi="微软雅黑"/>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Pr>
          <w:rFonts w:ascii="微软雅黑" w:hAnsi="微软雅黑"/>
          <w:sz w:val="21"/>
          <w:szCs w:val="21"/>
        </w:rPr>
        <w:t>GB/T 15190</w:t>
      </w:r>
      <w:r>
        <w:rPr>
          <w:rFonts w:hint="eastAsia" w:ascii="微软雅黑" w:hAnsi="微软雅黑"/>
          <w:sz w:val="21"/>
          <w:szCs w:val="21"/>
        </w:rPr>
        <w:t>，判断场地内环境噪声模拟结果是否满足《声环境质量标准》</w:t>
      </w:r>
      <w:r>
        <w:rPr>
          <w:rFonts w:ascii="微软雅黑" w:hAnsi="微软雅黑"/>
          <w:sz w:val="21"/>
          <w:szCs w:val="21"/>
        </w:rPr>
        <w:t>GB 3096</w:t>
      </w:r>
      <w:r>
        <w:rPr>
          <w:rFonts w:hint="eastAsia" w:ascii="微软雅黑" w:hAnsi="微软雅黑"/>
          <w:sz w:val="21"/>
          <w:szCs w:val="21"/>
        </w:rPr>
        <w:t>和《绿色建筑评价标准》GB 50378的相关规定。</w:t>
      </w:r>
    </w:p>
    <w:p w14:paraId="39A22AFA">
      <w:pPr>
        <w:pStyle w:val="3"/>
        <w:rPr>
          <w:sz w:val="24"/>
          <w:szCs w:val="24"/>
        </w:rPr>
      </w:pPr>
      <w:bookmarkStart w:id="25" w:name="_Toc12645"/>
      <w:r>
        <w:rPr>
          <w:rFonts w:hint="eastAsia"/>
          <w:sz w:val="24"/>
          <w:szCs w:val="24"/>
        </w:rPr>
        <w:t>3.2分析</w:t>
      </w:r>
      <w:r>
        <w:rPr>
          <w:sz w:val="24"/>
          <w:szCs w:val="24"/>
        </w:rPr>
        <w:t>模</w:t>
      </w:r>
      <w:r>
        <w:rPr>
          <w:rFonts w:hint="eastAsia"/>
          <w:sz w:val="24"/>
          <w:szCs w:val="24"/>
        </w:rPr>
        <w:t>型</w:t>
      </w:r>
      <w:bookmarkEnd w:id="24"/>
      <w:bookmarkEnd w:id="25"/>
    </w:p>
    <w:p w14:paraId="1D578ADF">
      <w:pPr>
        <w:spacing w:line="276" w:lineRule="auto"/>
        <w:ind w:firstLine="420" w:firstLineChars="200"/>
        <w:rPr>
          <w:rFonts w:ascii="Times New Roman" w:hAnsi="Times New Roman" w:cs="宋体"/>
        </w:rPr>
      </w:pPr>
      <w:r>
        <w:rPr>
          <w:rFonts w:hint="eastAsia" w:ascii="Times New Roman" w:hAnsi="Times New Roman" w:cs="宋体"/>
        </w:rPr>
        <w:t>本报告根据建筑设计图纸等相关资料建立室外声环境模拟分析模型，主要包括参评目标建筑、周边建筑、声屏障、道路（包括轨道交通）和绿化带等对象。</w:t>
      </w:r>
    </w:p>
    <w:p w14:paraId="42773C84">
      <w:pPr>
        <w:spacing w:line="276" w:lineRule="auto"/>
        <w:ind w:firstLine="420"/>
        <w:rPr>
          <w:rFonts w:ascii="Times New Roman" w:hAnsi="Times New Roman" w:cs="宋体"/>
        </w:rPr>
      </w:pPr>
      <w:r>
        <w:rPr>
          <w:rFonts w:hint="eastAsia" w:ascii="Times New Roman" w:hAnsi="Times New Roman" w:cs="宋体"/>
        </w:rPr>
        <w:t>本项目</w:t>
      </w:r>
      <w:r>
        <w:rPr>
          <w:rFonts w:ascii="Times New Roman" w:hAnsi="Times New Roman" w:cs="宋体"/>
        </w:rPr>
        <w:t>噪声分析模型如下图所示：</w:t>
      </w:r>
    </w:p>
    <w:p w14:paraId="735973EF">
      <w:pPr>
        <w:autoSpaceDE w:val="0"/>
        <w:autoSpaceDN w:val="0"/>
        <w:adjustRightInd w:val="0"/>
        <w:jc w:val="center"/>
        <w:rPr>
          <w:rFonts w:ascii="Times New Roman" w:hAnsi="Times New Roman"/>
          <w:color w:val="FF0000"/>
        </w:rPr>
      </w:pPr>
      <w:bookmarkStart w:id="26" w:name="建设项目室外声环境分析模型平面图"/>
      <w:bookmarkEnd w:id="26"/>
      <w:r>
        <w:drawing>
          <wp:inline distT="0" distB="0" distL="0" distR="0">
            <wp:extent cx="2676525" cy="801052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0"/>
                    <a:stretch>
                      <a:fillRect/>
                    </a:stretch>
                  </pic:blipFill>
                  <pic:spPr>
                    <a:xfrm>
                      <a:off x="0" y="0"/>
                      <a:ext cx="2676525" cy="8010525"/>
                    </a:xfrm>
                    <a:prstGeom prst="rect">
                      <a:avLst/>
                    </a:prstGeom>
                  </pic:spPr>
                </pic:pic>
              </a:graphicData>
            </a:graphic>
          </wp:inline>
        </w:drawing>
      </w:r>
    </w:p>
    <w:p w14:paraId="49C18BD0">
      <w:pPr>
        <w:widowControl/>
        <w:jc w:val="center"/>
        <w:rPr>
          <w:kern w:val="0"/>
          <w:sz w:val="18"/>
          <w:szCs w:val="18"/>
        </w:rPr>
      </w:pPr>
      <w:r>
        <w:rPr>
          <w:rFonts w:hint="eastAsia"/>
          <w:kern w:val="0"/>
          <w:sz w:val="18"/>
          <w:szCs w:val="18"/>
        </w:rPr>
        <w:t>图3.</w:t>
      </w:r>
      <w:r>
        <w:rPr>
          <w:kern w:val="0"/>
          <w:sz w:val="18"/>
          <w:szCs w:val="18"/>
        </w:rPr>
        <w:t>2-1</w:t>
      </w:r>
      <w:r>
        <w:rPr>
          <w:rFonts w:hint="eastAsia"/>
          <w:kern w:val="0"/>
          <w:sz w:val="18"/>
          <w:szCs w:val="18"/>
        </w:rPr>
        <w:t xml:space="preserve"> 模型平面图</w:t>
      </w:r>
    </w:p>
    <w:p w14:paraId="211D8B4C">
      <w:pPr>
        <w:pStyle w:val="3"/>
        <w:rPr>
          <w:rFonts w:ascii="宋体"/>
          <w:sz w:val="24"/>
          <w:szCs w:val="24"/>
        </w:rPr>
      </w:pPr>
      <w:bookmarkStart w:id="27" w:name="_Toc479326725"/>
      <w:bookmarkStart w:id="28" w:name="_Toc28964"/>
      <w:r>
        <w:rPr>
          <w:rFonts w:hint="eastAsia"/>
          <w:sz w:val="24"/>
          <w:szCs w:val="24"/>
        </w:rPr>
        <w:t>3.</w:t>
      </w:r>
      <w:r>
        <w:rPr>
          <w:sz w:val="24"/>
          <w:szCs w:val="24"/>
        </w:rPr>
        <w:t>3</w:t>
      </w:r>
      <w:r>
        <w:rPr>
          <w:rFonts w:hint="eastAsia"/>
          <w:sz w:val="24"/>
          <w:szCs w:val="24"/>
        </w:rPr>
        <w:t>计算条件</w:t>
      </w:r>
      <w:bookmarkEnd w:id="27"/>
      <w:bookmarkEnd w:id="28"/>
    </w:p>
    <w:p w14:paraId="0575A932">
      <w:pPr>
        <w:rPr>
          <w:bCs/>
        </w:rPr>
      </w:pPr>
      <w:bookmarkStart w:id="29" w:name="计算条件"/>
      <w:r>
        <w:rPr>
          <w:rFonts w:hint="eastAsia"/>
          <w:bCs/>
        </w:rPr>
        <w:t>■ 网格设置</w:t>
      </w:r>
    </w:p>
    <w:p w14:paraId="5B0EDB1F">
      <w:pPr>
        <w:rPr>
          <w:bCs/>
        </w:rPr>
      </w:pPr>
      <w:r>
        <w:rPr>
          <w:bCs/>
          <w:color w:val="000000"/>
        </w:rPr>
        <w:t xml:space="preserve">  平面网格间距：20×20 米</w:t>
      </w:r>
    </w:p>
    <w:p w14:paraId="3395DD3C">
      <w:pPr>
        <w:rPr>
          <w:bCs/>
        </w:rPr>
      </w:pPr>
      <w:r>
        <w:rPr>
          <w:bCs/>
          <w:color w:val="000000"/>
        </w:rPr>
        <w:t xml:space="preserve">  平面网格离地高度：1.5 米</w:t>
      </w:r>
    </w:p>
    <w:p w14:paraId="6F1C1D93">
      <w:pPr>
        <w:rPr>
          <w:bCs/>
        </w:rPr>
      </w:pPr>
      <w:r>
        <w:rPr>
          <w:bCs/>
          <w:color w:val="000000"/>
        </w:rPr>
        <w:t xml:space="preserve">  立面网格间距：3×3 米</w:t>
      </w:r>
    </w:p>
    <w:p w14:paraId="49EC6CBA">
      <w:pPr>
        <w:rPr>
          <w:bCs/>
        </w:rPr>
      </w:pPr>
    </w:p>
    <w:p w14:paraId="72C2FBEF">
      <w:pPr>
        <w:rPr>
          <w:bCs/>
        </w:rPr>
      </w:pPr>
      <w:r>
        <w:rPr>
          <w:bCs/>
          <w:color w:val="000000"/>
        </w:rPr>
        <w:t>■ 地面效应</w:t>
      </w:r>
    </w:p>
    <w:p w14:paraId="2939E386">
      <w:pPr>
        <w:rPr>
          <w:bCs/>
        </w:rPr>
      </w:pPr>
      <w:r>
        <w:rPr>
          <w:bCs/>
          <w:color w:val="000000"/>
        </w:rPr>
        <w:t xml:space="preserve">  地面高度：0 米</w:t>
      </w:r>
    </w:p>
    <w:p w14:paraId="2E5758C6">
      <w:pPr>
        <w:rPr>
          <w:bCs/>
        </w:rPr>
      </w:pPr>
      <w:r>
        <w:rPr>
          <w:bCs/>
          <w:color w:val="000000"/>
        </w:rPr>
        <w:t xml:space="preserve">  计算考虑地面效应</w:t>
      </w:r>
    </w:p>
    <w:p w14:paraId="22FC48DD">
      <w:pPr>
        <w:rPr>
          <w:bCs/>
        </w:rPr>
      </w:pPr>
      <w:r>
        <w:rPr>
          <w:bCs/>
          <w:color w:val="000000"/>
        </w:rPr>
        <w:t xml:space="preserve">  地面效应计算方法：导则算法</w:t>
      </w:r>
    </w:p>
    <w:p w14:paraId="67C9E50F">
      <w:pPr>
        <w:rPr>
          <w:bCs/>
        </w:rPr>
      </w:pPr>
    </w:p>
    <w:p w14:paraId="4A81DD12">
      <w:pPr>
        <w:rPr>
          <w:bCs/>
        </w:rPr>
      </w:pPr>
      <w:r>
        <w:rPr>
          <w:bCs/>
          <w:color w:val="000000"/>
        </w:rPr>
        <w:t>■ 噪声反射</w:t>
      </w:r>
    </w:p>
    <w:p w14:paraId="6C7C8282">
      <w:pPr>
        <w:rPr>
          <w:bCs/>
        </w:rPr>
      </w:pPr>
      <w:r>
        <w:rPr>
          <w:bCs/>
          <w:color w:val="000000"/>
        </w:rPr>
        <w:t xml:space="preserve">  障碍物考虑的最大反射次数：1</w:t>
      </w:r>
    </w:p>
    <w:p w14:paraId="14B6C43E">
      <w:pPr>
        <w:rPr>
          <w:bCs/>
        </w:rPr>
      </w:pPr>
    </w:p>
    <w:p w14:paraId="3B2EF4DF">
      <w:pPr>
        <w:rPr>
          <w:bCs/>
        </w:rPr>
      </w:pPr>
      <w:r>
        <w:rPr>
          <w:bCs/>
          <w:color w:val="000000"/>
        </w:rPr>
        <w:t>■ 空气吸收</w:t>
      </w:r>
    </w:p>
    <w:p w14:paraId="79D7E583">
      <w:pPr>
        <w:rPr>
          <w:bCs/>
        </w:rPr>
      </w:pPr>
      <w:r>
        <w:rPr>
          <w:bCs/>
          <w:color w:val="000000"/>
        </w:rPr>
        <w:t xml:space="preserve">  气压：101325Pa  气温：16℃  湿度：50%</w:t>
      </w:r>
    </w:p>
    <w:p w14:paraId="26DA0BFB">
      <w:pPr>
        <w:rPr>
          <w:bCs/>
        </w:rPr>
      </w:pPr>
    </w:p>
    <w:p w14:paraId="6C207AA2">
      <w:pPr>
        <w:rPr>
          <w:bCs/>
        </w:rPr>
      </w:pPr>
      <w:r>
        <w:rPr>
          <w:bCs/>
          <w:color w:val="000000"/>
        </w:rPr>
        <w:t>■ 达标统计</w:t>
      </w:r>
    </w:p>
    <w:p w14:paraId="2EE8FD03">
      <w:pPr>
        <w:rPr>
          <w:bCs/>
        </w:rPr>
      </w:pPr>
      <w:r>
        <w:rPr>
          <w:bCs/>
          <w:color w:val="000000"/>
        </w:rPr>
        <w:t xml:space="preserve">  建筑物噪声最大值统计方式</w:t>
      </w:r>
    </w:p>
    <w:p w14:paraId="77139212">
      <w:pPr>
        <w:rPr>
          <w:bCs/>
        </w:rPr>
      </w:pPr>
      <w:r>
        <w:rPr>
          <w:bCs/>
          <w:color w:val="000000"/>
        </w:rPr>
        <w:t xml:space="preserve">    取距离建筑物底标高1.5米沿线点</w:t>
      </w:r>
    </w:p>
    <w:p w14:paraId="1B9C6796">
      <w:pPr>
        <w:rPr>
          <w:bCs/>
        </w:rPr>
      </w:pPr>
      <w:r>
        <w:rPr>
          <w:bCs/>
          <w:color w:val="000000"/>
        </w:rPr>
        <w:t xml:space="preserve">  场地环境噪声达标统计方式</w:t>
      </w:r>
    </w:p>
    <w:p w14:paraId="23FA750E">
      <w:pPr>
        <w:rPr>
          <w:bCs/>
        </w:rPr>
      </w:pPr>
      <w:r>
        <w:rPr>
          <w:bCs/>
          <w:color w:val="000000"/>
        </w:rPr>
        <w:t xml:space="preserve">    场地内命名参评建筑物全部达标</w:t>
      </w:r>
    </w:p>
    <w:bookmarkEnd w:id="29"/>
    <w:p w14:paraId="0DE89AB0">
      <w:pPr>
        <w:pStyle w:val="3"/>
        <w:rPr>
          <w:sz w:val="24"/>
          <w:szCs w:val="24"/>
        </w:rPr>
      </w:pPr>
      <w:bookmarkStart w:id="30" w:name="_Toc479326726"/>
      <w:bookmarkStart w:id="31" w:name="_Toc16900"/>
      <w:r>
        <w:rPr>
          <w:rFonts w:hint="eastAsia"/>
          <w:sz w:val="24"/>
          <w:szCs w:val="24"/>
        </w:rPr>
        <w:t>3.</w:t>
      </w:r>
      <w:r>
        <w:rPr>
          <w:sz w:val="24"/>
          <w:szCs w:val="24"/>
        </w:rPr>
        <w:t>4</w:t>
      </w:r>
      <w:r>
        <w:rPr>
          <w:rFonts w:hint="eastAsia"/>
          <w:sz w:val="24"/>
          <w:szCs w:val="24"/>
        </w:rPr>
        <w:t>参数</w:t>
      </w:r>
      <w:r>
        <w:rPr>
          <w:sz w:val="24"/>
          <w:szCs w:val="24"/>
        </w:rPr>
        <w:t>设置</w:t>
      </w:r>
      <w:bookmarkEnd w:id="30"/>
      <w:bookmarkEnd w:id="31"/>
    </w:p>
    <w:p w14:paraId="53E03DBC">
      <w:pPr>
        <w:spacing w:line="276" w:lineRule="auto"/>
        <w:ind w:firstLine="420"/>
      </w:pPr>
      <w:r>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6FA8E277">
      <w:pPr>
        <w:spacing w:line="276" w:lineRule="auto"/>
        <w:jc w:val="center"/>
      </w:pPr>
      <w:bookmarkStart w:id="32" w:name="声源表"/>
      <w:bookmarkEnd w:id="32"/>
      <w:r>
        <w:rPr>
          <w:sz w:val="18"/>
          <w:szCs w:val="18"/>
        </w:rPr>
        <w:t>表3.4-1 公路噪声源</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848"/>
        <w:gridCol w:w="848"/>
        <w:gridCol w:w="848"/>
        <w:gridCol w:w="1075"/>
        <w:gridCol w:w="905"/>
        <w:gridCol w:w="905"/>
        <w:gridCol w:w="905"/>
      </w:tblGrid>
      <w:tr w14:paraId="7F6F12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1864A65">
            <w:pPr>
              <w:jc w:val="center"/>
              <w:rPr>
                <w:sz w:val="21"/>
                <w:szCs w:val="21"/>
              </w:rPr>
            </w:pPr>
            <w:r>
              <w:rPr>
                <w:sz w:val="21"/>
                <w:szCs w:val="21"/>
              </w:rPr>
              <w:t>路段名称</w:t>
            </w:r>
          </w:p>
        </w:tc>
        <w:tc>
          <w:tcPr>
            <w:shd w:val="clear" w:color="auto" w:fill="E6E6E6"/>
            <w:vAlign w:val="center"/>
          </w:tcPr>
          <w:p w14:paraId="5C50A9CA">
            <w:pPr>
              <w:jc w:val="center"/>
              <w:rPr>
                <w:sz w:val="21"/>
                <w:szCs w:val="21"/>
              </w:rPr>
            </w:pPr>
            <w:r>
              <w:rPr>
                <w:sz w:val="21"/>
                <w:szCs w:val="21"/>
              </w:rPr>
              <w:t>路面</w:t>
            </w:r>
            <w:r>
              <w:rPr>
                <w:sz w:val="21"/>
                <w:szCs w:val="21"/>
              </w:rPr>
              <w:br w:type="textWrapping"/>
            </w:r>
            <w:r>
              <w:rPr>
                <w:sz w:val="21"/>
                <w:szCs w:val="21"/>
              </w:rPr>
              <w:t>材料</w:t>
            </w:r>
          </w:p>
        </w:tc>
        <w:tc>
          <w:tcPr>
            <w:shd w:val="clear" w:color="auto" w:fill="E6E6E6"/>
            <w:vAlign w:val="center"/>
          </w:tcPr>
          <w:p w14:paraId="1F9ACF0B">
            <w:pPr>
              <w:jc w:val="center"/>
              <w:rPr>
                <w:sz w:val="21"/>
                <w:szCs w:val="21"/>
              </w:rPr>
            </w:pPr>
            <w:r>
              <w:rPr>
                <w:sz w:val="21"/>
                <w:szCs w:val="21"/>
              </w:rPr>
              <w:t>车道</w:t>
            </w:r>
            <w:r>
              <w:rPr>
                <w:sz w:val="21"/>
                <w:szCs w:val="21"/>
              </w:rPr>
              <w:br w:type="textWrapping"/>
            </w:r>
            <w:r>
              <w:rPr>
                <w:sz w:val="21"/>
                <w:szCs w:val="21"/>
              </w:rPr>
              <w:t>数量</w:t>
            </w:r>
          </w:p>
        </w:tc>
        <w:tc>
          <w:tcPr>
            <w:shd w:val="clear" w:color="auto" w:fill="E6E6E6"/>
            <w:vAlign w:val="center"/>
          </w:tcPr>
          <w:p w14:paraId="55BE12A2">
            <w:pPr>
              <w:jc w:val="center"/>
              <w:rPr>
                <w:sz w:val="21"/>
                <w:szCs w:val="21"/>
              </w:rPr>
            </w:pPr>
            <w:r>
              <w:rPr>
                <w:sz w:val="21"/>
                <w:szCs w:val="21"/>
              </w:rPr>
              <w:t>时段</w:t>
            </w:r>
          </w:p>
        </w:tc>
        <w:tc>
          <w:tcPr>
            <w:shd w:val="clear" w:color="auto" w:fill="E6E6E6"/>
            <w:vAlign w:val="center"/>
          </w:tcPr>
          <w:p w14:paraId="6FF230C1">
            <w:pPr>
              <w:jc w:val="center"/>
              <w:rPr>
                <w:sz w:val="21"/>
                <w:szCs w:val="21"/>
              </w:rPr>
            </w:pPr>
            <w:r>
              <w:rPr>
                <w:sz w:val="21"/>
                <w:szCs w:val="21"/>
              </w:rPr>
              <w:t>设计车速</w:t>
            </w:r>
            <w:r>
              <w:rPr>
                <w:sz w:val="21"/>
                <w:szCs w:val="21"/>
              </w:rPr>
              <w:br w:type="textWrapping"/>
            </w:r>
            <w:r>
              <w:rPr>
                <w:sz w:val="21"/>
                <w:szCs w:val="21"/>
              </w:rPr>
              <w:t>km/h</w:t>
            </w:r>
          </w:p>
        </w:tc>
        <w:tc>
          <w:tcPr>
            <w:shd w:val="clear" w:color="auto" w:fill="E6E6E6"/>
            <w:vAlign w:val="center"/>
          </w:tcPr>
          <w:p w14:paraId="0B3DD60E">
            <w:pPr>
              <w:jc w:val="center"/>
              <w:rPr>
                <w:sz w:val="21"/>
                <w:szCs w:val="21"/>
              </w:rPr>
            </w:pPr>
            <w:r>
              <w:rPr>
                <w:sz w:val="21"/>
                <w:szCs w:val="21"/>
              </w:rPr>
              <w:t>小型车</w:t>
            </w:r>
            <w:r>
              <w:rPr>
                <w:sz w:val="21"/>
                <w:szCs w:val="21"/>
              </w:rPr>
              <w:br w:type="textWrapping"/>
            </w:r>
            <w:r>
              <w:rPr>
                <w:sz w:val="21"/>
                <w:szCs w:val="21"/>
              </w:rPr>
              <w:t>辆/h</w:t>
            </w:r>
          </w:p>
        </w:tc>
        <w:tc>
          <w:tcPr>
            <w:shd w:val="clear" w:color="auto" w:fill="E6E6E6"/>
            <w:vAlign w:val="center"/>
          </w:tcPr>
          <w:p w14:paraId="7F90F62C">
            <w:pPr>
              <w:jc w:val="center"/>
              <w:rPr>
                <w:sz w:val="21"/>
                <w:szCs w:val="21"/>
              </w:rPr>
            </w:pPr>
            <w:r>
              <w:rPr>
                <w:sz w:val="21"/>
                <w:szCs w:val="21"/>
              </w:rPr>
              <w:t>中型车</w:t>
            </w:r>
            <w:r>
              <w:rPr>
                <w:sz w:val="21"/>
                <w:szCs w:val="21"/>
              </w:rPr>
              <w:br w:type="textWrapping"/>
            </w:r>
            <w:r>
              <w:rPr>
                <w:sz w:val="21"/>
                <w:szCs w:val="21"/>
              </w:rPr>
              <w:t>辆/h</w:t>
            </w:r>
          </w:p>
        </w:tc>
        <w:tc>
          <w:tcPr>
            <w:shd w:val="clear" w:color="auto" w:fill="E6E6E6"/>
            <w:vAlign w:val="center"/>
          </w:tcPr>
          <w:p w14:paraId="28F5095D">
            <w:pPr>
              <w:jc w:val="center"/>
              <w:rPr>
                <w:sz w:val="21"/>
                <w:szCs w:val="21"/>
              </w:rPr>
            </w:pPr>
            <w:r>
              <w:rPr>
                <w:sz w:val="21"/>
                <w:szCs w:val="21"/>
              </w:rPr>
              <w:t>大型车</w:t>
            </w:r>
            <w:r>
              <w:rPr>
                <w:sz w:val="21"/>
                <w:szCs w:val="21"/>
              </w:rPr>
              <w:br w:type="textWrapping"/>
            </w:r>
            <w:r>
              <w:rPr>
                <w:sz w:val="21"/>
                <w:szCs w:val="21"/>
              </w:rPr>
              <w:t>辆/h</w:t>
            </w:r>
          </w:p>
        </w:tc>
      </w:tr>
      <w:tr w14:paraId="3A1932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BD9E3FB">
            <w:pPr>
              <w:jc w:val="center"/>
              <w:rPr>
                <w:sz w:val="21"/>
                <w:szCs w:val="21"/>
              </w:rPr>
            </w:pPr>
            <w:r>
              <w:rPr>
                <w:sz w:val="21"/>
                <w:szCs w:val="21"/>
              </w:rPr>
              <w:t>公路</w:t>
            </w:r>
          </w:p>
        </w:tc>
        <w:tc>
          <w:tcPr>
            <w:vMerge w:val="restart"/>
            <w:vAlign w:val="center"/>
          </w:tcPr>
          <w:p w14:paraId="2886E5CF">
            <w:pPr>
              <w:jc w:val="center"/>
              <w:rPr>
                <w:sz w:val="21"/>
                <w:szCs w:val="21"/>
              </w:rPr>
            </w:pPr>
            <w:r>
              <w:rPr>
                <w:sz w:val="21"/>
                <w:szCs w:val="21"/>
              </w:rPr>
              <w:t>沥青</w:t>
            </w:r>
            <w:r>
              <w:rPr>
                <w:sz w:val="21"/>
                <w:szCs w:val="21"/>
              </w:rPr>
              <w:br w:type="textWrapping"/>
            </w:r>
            <w:r>
              <w:rPr>
                <w:sz w:val="21"/>
                <w:szCs w:val="21"/>
              </w:rPr>
              <w:t>混凝土</w:t>
            </w:r>
          </w:p>
        </w:tc>
        <w:tc>
          <w:tcPr>
            <w:vMerge w:val="restart"/>
            <w:vAlign w:val="center"/>
          </w:tcPr>
          <w:p w14:paraId="5276C3C9">
            <w:pPr>
              <w:jc w:val="center"/>
              <w:rPr>
                <w:sz w:val="21"/>
                <w:szCs w:val="21"/>
              </w:rPr>
            </w:pPr>
            <w:r>
              <w:rPr>
                <w:sz w:val="21"/>
                <w:szCs w:val="21"/>
              </w:rPr>
              <w:t>2</w:t>
            </w:r>
          </w:p>
        </w:tc>
        <w:tc>
          <w:tcPr>
            <w:vAlign w:val="center"/>
          </w:tcPr>
          <w:p w14:paraId="1FCF2ACA">
            <w:pPr>
              <w:jc w:val="center"/>
              <w:rPr>
                <w:sz w:val="21"/>
                <w:szCs w:val="21"/>
              </w:rPr>
            </w:pPr>
            <w:r>
              <w:rPr>
                <w:sz w:val="21"/>
                <w:szCs w:val="21"/>
              </w:rPr>
              <w:t>昼间</w:t>
            </w:r>
          </w:p>
        </w:tc>
        <w:tc>
          <w:tcPr>
            <w:vAlign w:val="center"/>
          </w:tcPr>
          <w:p w14:paraId="4FF64CBB">
            <w:pPr>
              <w:jc w:val="center"/>
              <w:rPr>
                <w:sz w:val="21"/>
                <w:szCs w:val="21"/>
              </w:rPr>
            </w:pPr>
            <w:r>
              <w:rPr>
                <w:sz w:val="21"/>
                <w:szCs w:val="21"/>
              </w:rPr>
              <w:t>30</w:t>
            </w:r>
          </w:p>
        </w:tc>
        <w:tc>
          <w:tcPr>
            <w:vAlign w:val="center"/>
          </w:tcPr>
          <w:p w14:paraId="1921D885">
            <w:pPr>
              <w:jc w:val="center"/>
              <w:rPr>
                <w:sz w:val="21"/>
                <w:szCs w:val="21"/>
              </w:rPr>
            </w:pPr>
            <w:r>
              <w:rPr>
                <w:sz w:val="21"/>
                <w:szCs w:val="21"/>
              </w:rPr>
              <w:t>200</w:t>
            </w:r>
          </w:p>
        </w:tc>
        <w:tc>
          <w:tcPr>
            <w:vAlign w:val="center"/>
          </w:tcPr>
          <w:p w14:paraId="244EBE24">
            <w:pPr>
              <w:jc w:val="center"/>
              <w:rPr>
                <w:sz w:val="21"/>
                <w:szCs w:val="21"/>
              </w:rPr>
            </w:pPr>
            <w:r>
              <w:rPr>
                <w:sz w:val="21"/>
                <w:szCs w:val="21"/>
              </w:rPr>
              <w:t>10</w:t>
            </w:r>
          </w:p>
        </w:tc>
        <w:tc>
          <w:tcPr>
            <w:vAlign w:val="center"/>
          </w:tcPr>
          <w:p w14:paraId="25AA9325">
            <w:pPr>
              <w:jc w:val="center"/>
              <w:rPr>
                <w:sz w:val="21"/>
                <w:szCs w:val="21"/>
              </w:rPr>
            </w:pPr>
            <w:r>
              <w:rPr>
                <w:sz w:val="21"/>
                <w:szCs w:val="21"/>
              </w:rPr>
              <w:t>0</w:t>
            </w:r>
          </w:p>
        </w:tc>
      </w:tr>
      <w:tr w14:paraId="756EE0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3EEBD6">
            <w:pPr>
              <w:jc w:val="center"/>
              <w:rPr>
                <w:sz w:val="21"/>
                <w:szCs w:val="21"/>
              </w:rPr>
            </w:pPr>
          </w:p>
        </w:tc>
        <w:tc>
          <w:tcPr>
            <w:vMerge w:val="continue"/>
            <w:vAlign w:val="center"/>
          </w:tcPr>
          <w:p w14:paraId="72D40E37">
            <w:pPr>
              <w:jc w:val="center"/>
              <w:rPr>
                <w:sz w:val="21"/>
                <w:szCs w:val="21"/>
              </w:rPr>
            </w:pPr>
          </w:p>
        </w:tc>
        <w:tc>
          <w:tcPr>
            <w:vMerge w:val="continue"/>
            <w:vAlign w:val="center"/>
          </w:tcPr>
          <w:p w14:paraId="76DF5A46">
            <w:pPr>
              <w:jc w:val="center"/>
              <w:rPr>
                <w:sz w:val="21"/>
                <w:szCs w:val="21"/>
              </w:rPr>
            </w:pPr>
          </w:p>
        </w:tc>
        <w:tc>
          <w:tcPr>
            <w:vAlign w:val="center"/>
          </w:tcPr>
          <w:p w14:paraId="031308D2">
            <w:pPr>
              <w:jc w:val="center"/>
              <w:rPr>
                <w:sz w:val="21"/>
                <w:szCs w:val="21"/>
              </w:rPr>
            </w:pPr>
            <w:r>
              <w:rPr>
                <w:sz w:val="21"/>
                <w:szCs w:val="21"/>
              </w:rPr>
              <w:t>夜间</w:t>
            </w:r>
          </w:p>
        </w:tc>
        <w:tc>
          <w:tcPr>
            <w:vAlign w:val="center"/>
          </w:tcPr>
          <w:p w14:paraId="66649542">
            <w:pPr>
              <w:jc w:val="center"/>
              <w:rPr>
                <w:sz w:val="21"/>
                <w:szCs w:val="21"/>
              </w:rPr>
            </w:pPr>
            <w:r>
              <w:rPr>
                <w:sz w:val="21"/>
                <w:szCs w:val="21"/>
              </w:rPr>
              <w:t>30</w:t>
            </w:r>
          </w:p>
        </w:tc>
        <w:tc>
          <w:tcPr>
            <w:vAlign w:val="center"/>
          </w:tcPr>
          <w:p w14:paraId="7AC58004">
            <w:pPr>
              <w:jc w:val="center"/>
              <w:rPr>
                <w:sz w:val="21"/>
                <w:szCs w:val="21"/>
              </w:rPr>
            </w:pPr>
            <w:r>
              <w:rPr>
                <w:sz w:val="21"/>
                <w:szCs w:val="21"/>
              </w:rPr>
              <w:t>20</w:t>
            </w:r>
          </w:p>
        </w:tc>
        <w:tc>
          <w:tcPr>
            <w:vAlign w:val="center"/>
          </w:tcPr>
          <w:p w14:paraId="74D8C84C">
            <w:pPr>
              <w:jc w:val="center"/>
              <w:rPr>
                <w:sz w:val="21"/>
                <w:szCs w:val="21"/>
              </w:rPr>
            </w:pPr>
            <w:r>
              <w:rPr>
                <w:sz w:val="21"/>
                <w:szCs w:val="21"/>
              </w:rPr>
              <w:t>0</w:t>
            </w:r>
          </w:p>
        </w:tc>
        <w:tc>
          <w:tcPr>
            <w:vAlign w:val="center"/>
          </w:tcPr>
          <w:p w14:paraId="295B79B1">
            <w:pPr>
              <w:jc w:val="center"/>
              <w:rPr>
                <w:sz w:val="21"/>
                <w:szCs w:val="21"/>
              </w:rPr>
            </w:pPr>
            <w:r>
              <w:rPr>
                <w:sz w:val="21"/>
                <w:szCs w:val="21"/>
              </w:rPr>
              <w:t>0</w:t>
            </w:r>
          </w:p>
        </w:tc>
      </w:tr>
    </w:tbl>
    <w:p w14:paraId="6DB7D522">
      <w:pPr>
        <w:spacing w:line="276" w:lineRule="auto"/>
        <w:jc w:val="center"/>
      </w:pPr>
    </w:p>
    <w:p w14:paraId="5959F7C8">
      <w:pPr>
        <w:pStyle w:val="2"/>
        <w:rPr>
          <w:sz w:val="28"/>
          <w:szCs w:val="28"/>
        </w:rPr>
      </w:pPr>
      <w:bookmarkStart w:id="33" w:name="_Toc479326727"/>
      <w:bookmarkStart w:id="34" w:name="_Toc28605"/>
      <w:r>
        <w:rPr>
          <w:rFonts w:hint="eastAsia"/>
          <w:sz w:val="28"/>
          <w:szCs w:val="28"/>
        </w:rPr>
        <w:t>4.模拟结果</w:t>
      </w:r>
      <w:r>
        <w:rPr>
          <w:sz w:val="28"/>
          <w:szCs w:val="28"/>
        </w:rPr>
        <w:t>及分析</w:t>
      </w:r>
      <w:bookmarkEnd w:id="33"/>
      <w:bookmarkEnd w:id="34"/>
      <w:r>
        <w:rPr>
          <w:rFonts w:hint="eastAsia"/>
          <w:sz w:val="28"/>
          <w:szCs w:val="28"/>
        </w:rPr>
        <w:t xml:space="preserve"> </w:t>
      </w:r>
    </w:p>
    <w:p w14:paraId="6B838699">
      <w:pPr>
        <w:ind w:firstLine="420" w:firstLineChars="200"/>
      </w:pPr>
      <w:bookmarkStart w:id="35" w:name="_Toc479326728"/>
      <w:r>
        <w:rPr>
          <w:rFonts w:hint="eastAsia"/>
        </w:rPr>
        <w:t>经过软件模拟计算，预测出昼间和夜间两种时段下的场地噪声分布情况，包括场地噪声平面分布彩图、参评建筑沿建筑底轮廓线1.5米高度处噪声分布、参评建筑立面噪声级分布等彩色分析图和数据分析图。</w:t>
      </w:r>
    </w:p>
    <w:p w14:paraId="2FCF9EB5">
      <w:pPr>
        <w:pStyle w:val="3"/>
        <w:rPr>
          <w:sz w:val="24"/>
          <w:szCs w:val="24"/>
        </w:rPr>
      </w:pPr>
      <w:bookmarkStart w:id="36" w:name="_Toc21361"/>
      <w:r>
        <w:rPr>
          <w:rFonts w:hint="eastAsia"/>
          <w:sz w:val="24"/>
          <w:szCs w:val="24"/>
        </w:rPr>
        <w:t>4</w:t>
      </w:r>
      <w:r>
        <w:rPr>
          <w:sz w:val="24"/>
          <w:szCs w:val="24"/>
        </w:rPr>
        <w:t>.1</w:t>
      </w:r>
      <w:r>
        <w:rPr>
          <w:rFonts w:hint="eastAsia"/>
          <w:sz w:val="24"/>
          <w:szCs w:val="24"/>
        </w:rPr>
        <w:t>场地</w:t>
      </w:r>
      <w:r>
        <w:rPr>
          <w:sz w:val="24"/>
          <w:szCs w:val="24"/>
        </w:rPr>
        <w:t>噪声</w:t>
      </w:r>
      <w:r>
        <w:rPr>
          <w:rFonts w:hint="eastAsia"/>
          <w:sz w:val="24"/>
          <w:szCs w:val="24"/>
        </w:rPr>
        <w:t>分布</w:t>
      </w:r>
      <w:bookmarkEnd w:id="35"/>
      <w:bookmarkEnd w:id="36"/>
    </w:p>
    <w:p w14:paraId="1D4E236D">
      <w:pPr>
        <w:jc w:val="center"/>
      </w:pPr>
      <w:r>
        <w:drawing>
          <wp:inline distT="0" distB="0" distL="0" distR="0">
            <wp:extent cx="5273675" cy="408940"/>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06" cy="409371"/>
                    </a:xfrm>
                    <a:prstGeom prst="rect">
                      <a:avLst/>
                    </a:prstGeom>
                    <a:noFill/>
                    <a:ln>
                      <a:noFill/>
                    </a:ln>
                  </pic:spPr>
                </pic:pic>
              </a:graphicData>
            </a:graphic>
          </wp:inline>
        </w:drawing>
      </w:r>
    </w:p>
    <w:p w14:paraId="711E0898">
      <w:pPr>
        <w:jc w:val="center"/>
      </w:pPr>
    </w:p>
    <w:p w14:paraId="1A90242C">
      <w:pPr>
        <w:jc w:val="center"/>
        <w:rPr>
          <w:rFonts w:ascii="Times New Roman" w:hAnsi="Times New Roman"/>
        </w:rPr>
      </w:pPr>
      <w:bookmarkStart w:id="37" w:name="场地分布图昼"/>
      <w:bookmarkEnd w:id="37"/>
      <w:r>
        <w:drawing>
          <wp:inline distT="0" distB="0" distL="0" distR="0">
            <wp:extent cx="5667375" cy="508635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12"/>
                    <a:stretch>
                      <a:fillRect/>
                    </a:stretch>
                  </pic:blipFill>
                  <pic:spPr>
                    <a:xfrm>
                      <a:off x="0" y="0"/>
                      <a:ext cx="5667375" cy="5086350"/>
                    </a:xfrm>
                    <a:prstGeom prst="rect">
                      <a:avLst/>
                    </a:prstGeom>
                  </pic:spPr>
                </pic:pic>
              </a:graphicData>
            </a:graphic>
          </wp:inline>
        </w:drawing>
      </w:r>
    </w:p>
    <w:p w14:paraId="26C85A38">
      <w:pPr>
        <w:widowControl/>
        <w:jc w:val="center"/>
        <w:rPr>
          <w:kern w:val="0"/>
          <w:sz w:val="18"/>
          <w:szCs w:val="16"/>
        </w:rPr>
      </w:pPr>
      <w:r>
        <w:rPr>
          <w:rFonts w:hint="eastAsia"/>
          <w:kern w:val="0"/>
          <w:sz w:val="18"/>
          <w:szCs w:val="16"/>
        </w:rPr>
        <w:t>图4.1</w:t>
      </w:r>
      <w:r>
        <w:rPr>
          <w:kern w:val="0"/>
          <w:sz w:val="18"/>
          <w:szCs w:val="16"/>
        </w:rPr>
        <w:t>-1</w:t>
      </w:r>
      <w:r>
        <w:rPr>
          <w:rFonts w:hint="eastAsia"/>
          <w:kern w:val="0"/>
          <w:sz w:val="18"/>
          <w:szCs w:val="16"/>
        </w:rPr>
        <w:t xml:space="preserve"> 场地1.</w:t>
      </w:r>
      <w:r>
        <w:rPr>
          <w:kern w:val="0"/>
          <w:sz w:val="18"/>
          <w:szCs w:val="16"/>
        </w:rPr>
        <w:t>5m高度处</w:t>
      </w:r>
      <w:r>
        <w:rPr>
          <w:rFonts w:hint="eastAsia"/>
          <w:kern w:val="0"/>
          <w:sz w:val="18"/>
          <w:szCs w:val="16"/>
        </w:rPr>
        <w:t>声压级</w:t>
      </w:r>
      <w:r>
        <w:rPr>
          <w:kern w:val="0"/>
          <w:sz w:val="18"/>
          <w:szCs w:val="16"/>
        </w:rPr>
        <w:t>分布图（</w:t>
      </w:r>
      <w:r>
        <w:rPr>
          <w:rFonts w:hint="eastAsia"/>
          <w:kern w:val="0"/>
          <w:sz w:val="18"/>
          <w:szCs w:val="16"/>
        </w:rPr>
        <w:t>昼间</w:t>
      </w:r>
      <w:r>
        <w:rPr>
          <w:kern w:val="0"/>
          <w:sz w:val="18"/>
          <w:szCs w:val="16"/>
        </w:rPr>
        <w:t>）</w:t>
      </w:r>
    </w:p>
    <w:p w14:paraId="6F39CC97">
      <w:pPr>
        <w:jc w:val="center"/>
        <w:rPr>
          <w:rFonts w:ascii="Times New Roman" w:hAnsi="Times New Roman"/>
        </w:rPr>
      </w:pPr>
      <w:bookmarkStart w:id="38" w:name="场地分布图夜"/>
      <w:bookmarkEnd w:id="38"/>
      <w:r>
        <w:drawing>
          <wp:inline distT="0" distB="0" distL="0" distR="0">
            <wp:extent cx="5667375" cy="50863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3"/>
                    <a:stretch>
                      <a:fillRect/>
                    </a:stretch>
                  </pic:blipFill>
                  <pic:spPr>
                    <a:xfrm>
                      <a:off x="0" y="0"/>
                      <a:ext cx="5667375" cy="5086350"/>
                    </a:xfrm>
                    <a:prstGeom prst="rect">
                      <a:avLst/>
                    </a:prstGeom>
                  </pic:spPr>
                </pic:pic>
              </a:graphicData>
            </a:graphic>
          </wp:inline>
        </w:drawing>
      </w:r>
    </w:p>
    <w:p w14:paraId="176AAA2E">
      <w:pPr>
        <w:widowControl/>
        <w:jc w:val="center"/>
        <w:rPr>
          <w:kern w:val="0"/>
          <w:sz w:val="18"/>
          <w:szCs w:val="16"/>
        </w:rPr>
      </w:pPr>
      <w:r>
        <w:rPr>
          <w:rFonts w:hint="eastAsia"/>
          <w:kern w:val="0"/>
          <w:sz w:val="18"/>
          <w:szCs w:val="16"/>
        </w:rPr>
        <w:t>图4.1</w:t>
      </w:r>
      <w:r>
        <w:rPr>
          <w:kern w:val="0"/>
          <w:sz w:val="18"/>
          <w:szCs w:val="16"/>
        </w:rPr>
        <w:t xml:space="preserve">-2 </w:t>
      </w:r>
      <w:r>
        <w:rPr>
          <w:rFonts w:hint="eastAsia"/>
          <w:kern w:val="0"/>
          <w:sz w:val="18"/>
          <w:szCs w:val="16"/>
        </w:rPr>
        <w:t>场地1.</w:t>
      </w:r>
      <w:r>
        <w:rPr>
          <w:kern w:val="0"/>
          <w:sz w:val="18"/>
          <w:szCs w:val="16"/>
        </w:rPr>
        <w:t>5m高度处</w:t>
      </w:r>
      <w:r>
        <w:rPr>
          <w:rFonts w:hint="eastAsia"/>
          <w:kern w:val="0"/>
          <w:sz w:val="18"/>
          <w:szCs w:val="16"/>
        </w:rPr>
        <w:t>声压级</w:t>
      </w:r>
      <w:r>
        <w:rPr>
          <w:kern w:val="0"/>
          <w:sz w:val="18"/>
          <w:szCs w:val="16"/>
        </w:rPr>
        <w:t>分布图（</w:t>
      </w:r>
      <w:r>
        <w:rPr>
          <w:rFonts w:hint="eastAsia"/>
          <w:kern w:val="0"/>
          <w:sz w:val="18"/>
          <w:szCs w:val="16"/>
        </w:rPr>
        <w:t>夜间</w:t>
      </w:r>
      <w:r>
        <w:rPr>
          <w:kern w:val="0"/>
          <w:sz w:val="18"/>
          <w:szCs w:val="16"/>
        </w:rPr>
        <w:t>）</w:t>
      </w:r>
    </w:p>
    <w:p w14:paraId="720F5AC9">
      <w:pPr>
        <w:jc w:val="center"/>
        <w:rPr>
          <w:rFonts w:ascii="Times New Roman" w:hAnsi="Times New Roman"/>
        </w:rPr>
      </w:pPr>
      <w:bookmarkStart w:id="39" w:name="场地噪声分布俯瞰昼"/>
      <w:bookmarkEnd w:id="39"/>
      <w:r>
        <w:drawing>
          <wp:inline distT="0" distB="0" distL="0" distR="0">
            <wp:extent cx="5667375" cy="50863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4"/>
                    <a:stretch>
                      <a:fillRect/>
                    </a:stretch>
                  </pic:blipFill>
                  <pic:spPr>
                    <a:xfrm>
                      <a:off x="0" y="0"/>
                      <a:ext cx="5667375" cy="5086350"/>
                    </a:xfrm>
                    <a:prstGeom prst="rect">
                      <a:avLst/>
                    </a:prstGeom>
                  </pic:spPr>
                </pic:pic>
              </a:graphicData>
            </a:graphic>
          </wp:inline>
        </w:drawing>
      </w:r>
    </w:p>
    <w:p w14:paraId="521AB413">
      <w:pPr>
        <w:widowControl/>
        <w:jc w:val="center"/>
        <w:rPr>
          <w:kern w:val="0"/>
          <w:sz w:val="18"/>
          <w:szCs w:val="16"/>
        </w:rPr>
      </w:pPr>
      <w:r>
        <w:rPr>
          <w:rFonts w:hint="eastAsia"/>
          <w:kern w:val="0"/>
          <w:sz w:val="18"/>
          <w:szCs w:val="16"/>
        </w:rPr>
        <w:t>图4.1</w:t>
      </w:r>
      <w:r>
        <w:rPr>
          <w:kern w:val="0"/>
          <w:sz w:val="18"/>
          <w:szCs w:val="16"/>
        </w:rPr>
        <w:t>-3</w:t>
      </w:r>
      <w:r>
        <w:rPr>
          <w:rFonts w:hint="eastAsia"/>
          <w:kern w:val="0"/>
          <w:sz w:val="18"/>
          <w:szCs w:val="16"/>
        </w:rPr>
        <w:t xml:space="preserve">  场地噪声分布俯瞰图（昼间）</w:t>
      </w:r>
    </w:p>
    <w:p w14:paraId="657B1BD6">
      <w:pPr>
        <w:widowControl/>
        <w:jc w:val="center"/>
        <w:rPr>
          <w:rFonts w:ascii="宋体" w:hAnsi="宋体"/>
        </w:rPr>
      </w:pPr>
      <w:bookmarkStart w:id="40" w:name="场地噪声分布俯瞰夜"/>
      <w:bookmarkEnd w:id="40"/>
      <w:r>
        <w:drawing>
          <wp:inline distT="0" distB="0" distL="0" distR="0">
            <wp:extent cx="5667375" cy="5086350"/>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15"/>
                    <a:stretch>
                      <a:fillRect/>
                    </a:stretch>
                  </pic:blipFill>
                  <pic:spPr>
                    <a:xfrm>
                      <a:off x="0" y="0"/>
                      <a:ext cx="5667375" cy="5086350"/>
                    </a:xfrm>
                    <a:prstGeom prst="rect">
                      <a:avLst/>
                    </a:prstGeom>
                  </pic:spPr>
                </pic:pic>
              </a:graphicData>
            </a:graphic>
          </wp:inline>
        </w:drawing>
      </w:r>
    </w:p>
    <w:p w14:paraId="3EE7BFE7">
      <w:pPr>
        <w:widowControl/>
        <w:jc w:val="center"/>
        <w:rPr>
          <w:kern w:val="0"/>
          <w:sz w:val="18"/>
          <w:szCs w:val="16"/>
        </w:rPr>
      </w:pPr>
      <w:r>
        <w:rPr>
          <w:rFonts w:hint="eastAsia"/>
          <w:kern w:val="0"/>
          <w:sz w:val="18"/>
          <w:szCs w:val="16"/>
        </w:rPr>
        <w:t>图4.1</w:t>
      </w:r>
      <w:r>
        <w:rPr>
          <w:kern w:val="0"/>
          <w:sz w:val="18"/>
          <w:szCs w:val="16"/>
        </w:rPr>
        <w:t xml:space="preserve">-4  </w:t>
      </w:r>
      <w:r>
        <w:rPr>
          <w:rFonts w:hint="eastAsia"/>
          <w:kern w:val="0"/>
          <w:sz w:val="18"/>
          <w:szCs w:val="16"/>
        </w:rPr>
        <w:t>场地噪声分布俯瞰图（夜间）</w:t>
      </w:r>
    </w:p>
    <w:p w14:paraId="5BB9CE9E">
      <w:pPr>
        <w:jc w:val="center"/>
        <w:rPr>
          <w:rFonts w:ascii="Times New Roman" w:hAnsi="Times New Roman"/>
          <w:b/>
          <w:color w:val="FF0000"/>
        </w:rPr>
      </w:pPr>
    </w:p>
    <w:p w14:paraId="02386B1A">
      <w:pPr>
        <w:pStyle w:val="3"/>
        <w:rPr>
          <w:sz w:val="24"/>
          <w:szCs w:val="24"/>
        </w:rPr>
      </w:pPr>
      <w:bookmarkStart w:id="41" w:name="_Toc479326729"/>
      <w:bookmarkStart w:id="42" w:name="_Toc14310"/>
      <w:r>
        <w:rPr>
          <w:rFonts w:hint="eastAsia"/>
          <w:sz w:val="24"/>
          <w:szCs w:val="24"/>
        </w:rPr>
        <w:t>4</w:t>
      </w:r>
      <w:r>
        <w:rPr>
          <w:sz w:val="24"/>
          <w:szCs w:val="24"/>
        </w:rPr>
        <w:t>.2</w:t>
      </w:r>
      <w:r>
        <w:rPr>
          <w:rFonts w:hint="eastAsia"/>
          <w:sz w:val="24"/>
          <w:szCs w:val="24"/>
        </w:rPr>
        <w:t>噪声敏感建筑</w:t>
      </w:r>
      <w:r>
        <w:rPr>
          <w:sz w:val="24"/>
          <w:szCs w:val="24"/>
        </w:rPr>
        <w:t>噪声</w:t>
      </w:r>
      <w:r>
        <w:rPr>
          <w:rFonts w:hint="eastAsia"/>
          <w:sz w:val="24"/>
          <w:szCs w:val="24"/>
        </w:rPr>
        <w:t>分布</w:t>
      </w:r>
      <w:bookmarkEnd w:id="41"/>
      <w:r>
        <w:rPr>
          <w:rFonts w:hint="eastAsia"/>
          <w:sz w:val="24"/>
          <w:szCs w:val="24"/>
        </w:rPr>
        <w:t>情况</w:t>
      </w:r>
      <w:bookmarkEnd w:id="42"/>
    </w:p>
    <w:p w14:paraId="497186E8">
      <w:pPr>
        <w:spacing w:line="276" w:lineRule="auto"/>
        <w:ind w:firstLine="420"/>
        <w:rPr>
          <w:rFonts w:ascii="Times New Roman" w:hAnsi="Times New Roman" w:cs="宋体"/>
        </w:rPr>
      </w:pPr>
      <w:r>
        <w:rPr>
          <w:rFonts w:hint="eastAsia" w:ascii="Times New Roman" w:hAnsi="Times New Roman" w:cs="宋体"/>
        </w:rPr>
        <w:t>参评建筑昼间和夜间沿</w:t>
      </w:r>
      <w:r>
        <w:rPr>
          <w:rFonts w:hint="eastAsia" w:cs="宋体"/>
        </w:rPr>
        <w:t>底轮廓线1.5米分析高度</w:t>
      </w:r>
      <w:r>
        <w:rPr>
          <w:rFonts w:hint="eastAsia" w:ascii="Times New Roman" w:hAnsi="Times New Roman" w:cs="宋体"/>
        </w:rPr>
        <w:t>处噪声分布情况，每栋参评建筑物俯视图圆圈内上下两个数字分别表示该建筑的昼间和夜间最大噪声值，红色填充代表该建筑昼间或夜间噪声值至少有一项超过三类声功能区限值，黄色填充代表该建筑物昼间或夜间噪声值均小于等于三类声功能区噪声限值，绿色填充代表该建筑物昼间或夜间噪声值均小于等于二类声功能区噪声限值。</w:t>
      </w:r>
    </w:p>
    <w:p w14:paraId="2351508C">
      <w:pPr>
        <w:spacing w:line="276" w:lineRule="auto"/>
        <w:ind w:firstLine="420"/>
        <w:rPr>
          <w:rFonts w:ascii="Times New Roman" w:hAnsi="Times New Roman" w:cs="宋体"/>
        </w:rPr>
      </w:pPr>
      <w:r>
        <w:rPr>
          <w:rFonts w:hint="eastAsia" w:ascii="Times New Roman" w:hAnsi="Times New Roman" w:cs="宋体"/>
        </w:rPr>
        <w:t>本项目室外昼间和夜间噪声分析及达标情况如下：</w:t>
      </w:r>
    </w:p>
    <w:p w14:paraId="018BC24F">
      <w:pPr>
        <w:jc w:val="center"/>
        <w:rPr>
          <w:rFonts w:ascii="Times New Roman" w:hAnsi="Times New Roman"/>
        </w:rPr>
      </w:pPr>
      <w:bookmarkStart w:id="43" w:name="建筑附近声压分布图昼"/>
      <w:bookmarkEnd w:id="43"/>
      <w:r>
        <w:drawing>
          <wp:inline distT="0" distB="0" distL="0" distR="0">
            <wp:extent cx="2990850" cy="801052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6"/>
                    <a:stretch>
                      <a:fillRect/>
                    </a:stretch>
                  </pic:blipFill>
                  <pic:spPr>
                    <a:xfrm>
                      <a:off x="0" y="0"/>
                      <a:ext cx="2990850" cy="8010525"/>
                    </a:xfrm>
                    <a:prstGeom prst="rect">
                      <a:avLst/>
                    </a:prstGeom>
                  </pic:spPr>
                </pic:pic>
              </a:graphicData>
            </a:graphic>
          </wp:inline>
        </w:drawing>
      </w:r>
    </w:p>
    <w:p w14:paraId="69AA140F">
      <w:pPr>
        <w:widowControl/>
        <w:jc w:val="center"/>
        <w:rPr>
          <w:kern w:val="0"/>
          <w:sz w:val="18"/>
          <w:szCs w:val="16"/>
        </w:rPr>
      </w:pPr>
      <w:r>
        <w:rPr>
          <w:rFonts w:hint="eastAsia"/>
          <w:kern w:val="0"/>
          <w:sz w:val="18"/>
          <w:szCs w:val="16"/>
        </w:rPr>
        <w:t>图4.</w:t>
      </w:r>
      <w:r>
        <w:rPr>
          <w:kern w:val="0"/>
          <w:sz w:val="18"/>
          <w:szCs w:val="16"/>
        </w:rPr>
        <w:t>2-1</w:t>
      </w:r>
      <w:r>
        <w:rPr>
          <w:rFonts w:hint="eastAsia"/>
          <w:kern w:val="0"/>
          <w:sz w:val="18"/>
          <w:szCs w:val="16"/>
        </w:rPr>
        <w:t xml:space="preserve"> 参评建筑附近区域</w:t>
      </w:r>
      <w:r>
        <w:rPr>
          <w:kern w:val="0"/>
          <w:sz w:val="18"/>
          <w:szCs w:val="16"/>
        </w:rPr>
        <w:t>1.5m</w:t>
      </w:r>
      <w:r>
        <w:rPr>
          <w:rFonts w:hint="eastAsia"/>
          <w:kern w:val="0"/>
          <w:sz w:val="18"/>
          <w:szCs w:val="16"/>
        </w:rPr>
        <w:t>高度处声压级平面分布图（昼间）</w:t>
      </w:r>
    </w:p>
    <w:p w14:paraId="3CD0689B">
      <w:pPr>
        <w:jc w:val="center"/>
        <w:rPr>
          <w:rFonts w:ascii="Times New Roman" w:hAnsi="Times New Roman"/>
        </w:rPr>
      </w:pPr>
      <w:bookmarkStart w:id="44" w:name="建筑附近声压分布图夜"/>
      <w:bookmarkEnd w:id="44"/>
      <w:r>
        <w:drawing>
          <wp:inline distT="0" distB="0" distL="0" distR="0">
            <wp:extent cx="2990850" cy="801052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6"/>
                    <a:stretch>
                      <a:fillRect/>
                    </a:stretch>
                  </pic:blipFill>
                  <pic:spPr>
                    <a:xfrm>
                      <a:off x="0" y="0"/>
                      <a:ext cx="2990850" cy="8010525"/>
                    </a:xfrm>
                    <a:prstGeom prst="rect">
                      <a:avLst/>
                    </a:prstGeom>
                  </pic:spPr>
                </pic:pic>
              </a:graphicData>
            </a:graphic>
          </wp:inline>
        </w:drawing>
      </w:r>
    </w:p>
    <w:p w14:paraId="2249C97E">
      <w:pPr>
        <w:widowControl/>
        <w:jc w:val="center"/>
        <w:rPr>
          <w:kern w:val="0"/>
          <w:sz w:val="18"/>
          <w:szCs w:val="16"/>
        </w:rPr>
      </w:pPr>
      <w:r>
        <w:rPr>
          <w:rFonts w:hint="eastAsia"/>
          <w:kern w:val="0"/>
          <w:sz w:val="18"/>
          <w:szCs w:val="16"/>
        </w:rPr>
        <w:t>图4.</w:t>
      </w:r>
      <w:r>
        <w:rPr>
          <w:kern w:val="0"/>
          <w:sz w:val="18"/>
          <w:szCs w:val="16"/>
        </w:rPr>
        <w:t>2-2</w:t>
      </w:r>
      <w:r>
        <w:rPr>
          <w:rFonts w:hint="eastAsia"/>
          <w:kern w:val="0"/>
          <w:sz w:val="18"/>
          <w:szCs w:val="16"/>
        </w:rPr>
        <w:t xml:space="preserve"> 参评建筑附近区域</w:t>
      </w:r>
      <w:r>
        <w:rPr>
          <w:kern w:val="0"/>
          <w:sz w:val="18"/>
          <w:szCs w:val="16"/>
        </w:rPr>
        <w:t>1.5m</w:t>
      </w:r>
      <w:r>
        <w:rPr>
          <w:rFonts w:hint="eastAsia"/>
          <w:kern w:val="0"/>
          <w:sz w:val="18"/>
          <w:szCs w:val="16"/>
        </w:rPr>
        <w:t>高度处声压级平面分布图（夜间）</w:t>
      </w:r>
    </w:p>
    <w:p w14:paraId="03C3AFAF">
      <w:pPr>
        <w:spacing w:before="240" w:line="276" w:lineRule="auto"/>
        <w:ind w:firstLine="420"/>
      </w:pPr>
      <w:r>
        <w:rPr>
          <w:rFonts w:hint="eastAsia"/>
        </w:rPr>
        <w:t>参评建筑昼间和夜间沿立面噪声分布情况，在每个计算立面上用圆圈标识出该面噪声最大值，昼间和夜间计算情况分别如下：</w:t>
      </w:r>
    </w:p>
    <w:p w14:paraId="053775F0">
      <w:pPr>
        <w:spacing w:before="240"/>
        <w:ind w:firstLine="420"/>
        <w:jc w:val="center"/>
      </w:pPr>
      <w:r>
        <w:drawing>
          <wp:inline distT="0" distB="0" distL="0" distR="0">
            <wp:extent cx="3704590" cy="475615"/>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17"/>
                    <a:stretch>
                      <a:fillRect/>
                    </a:stretch>
                  </pic:blipFill>
                  <pic:spPr>
                    <a:xfrm>
                      <a:off x="0" y="0"/>
                      <a:ext cx="3704762" cy="476190"/>
                    </a:xfrm>
                    <a:prstGeom prst="rect">
                      <a:avLst/>
                    </a:prstGeom>
                  </pic:spPr>
                </pic:pic>
              </a:graphicData>
            </a:graphic>
          </wp:inline>
        </w:drawing>
      </w:r>
    </w:p>
    <w:p w14:paraId="3BB435DB">
      <w:pPr>
        <w:widowControl/>
        <w:jc w:val="center"/>
        <w:rPr>
          <w:rFonts w:ascii="宋体" w:hAnsi="宋体"/>
        </w:rPr>
      </w:pPr>
      <w:bookmarkStart w:id="45" w:name="建筑附近声压分布鸟瞰图昼"/>
      <w:r>
        <w:drawing>
          <wp:inline distT="0" distB="0" distL="0" distR="0">
            <wp:extent cx="5667375" cy="274320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18"/>
                    <a:stretch>
                      <a:fillRect/>
                    </a:stretch>
                  </pic:blipFill>
                  <pic:spPr>
                    <a:xfrm>
                      <a:off x="0" y="0"/>
                      <a:ext cx="5667375" cy="2743200"/>
                    </a:xfrm>
                    <a:prstGeom prst="rect">
                      <a:avLst/>
                    </a:prstGeom>
                  </pic:spPr>
                </pic:pic>
              </a:graphicData>
            </a:graphic>
          </wp:inline>
        </w:drawing>
      </w:r>
    </w:p>
    <w:bookmarkEnd w:id="45"/>
    <w:p w14:paraId="0B82D8D8">
      <w:pPr>
        <w:widowControl/>
        <w:jc w:val="center"/>
        <w:rPr>
          <w:rFonts w:ascii="宋体" w:hAnsi="宋体"/>
        </w:rPr>
      </w:pPr>
    </w:p>
    <w:p w14:paraId="35C5987B">
      <w:pPr>
        <w:widowControl/>
        <w:jc w:val="center"/>
        <w:rPr>
          <w:kern w:val="0"/>
          <w:sz w:val="18"/>
          <w:szCs w:val="16"/>
        </w:rPr>
      </w:pPr>
      <w:r>
        <w:rPr>
          <w:rFonts w:hint="eastAsia"/>
          <w:kern w:val="0"/>
          <w:sz w:val="18"/>
          <w:szCs w:val="16"/>
        </w:rPr>
        <w:t>图4.</w:t>
      </w:r>
      <w:r>
        <w:rPr>
          <w:kern w:val="0"/>
          <w:sz w:val="18"/>
          <w:szCs w:val="16"/>
        </w:rPr>
        <w:t>2-3</w:t>
      </w:r>
      <w:r>
        <w:rPr>
          <w:rFonts w:hint="eastAsia"/>
          <w:kern w:val="0"/>
          <w:sz w:val="18"/>
          <w:szCs w:val="16"/>
        </w:rPr>
        <w:t xml:space="preserve"> 参评建筑附近区域声压级鸟瞰分布图（昼间）</w:t>
      </w:r>
    </w:p>
    <w:p w14:paraId="7877817E">
      <w:pPr>
        <w:widowControl/>
        <w:jc w:val="center"/>
        <w:rPr>
          <w:rFonts w:ascii="宋体" w:hAnsi="宋体"/>
        </w:rPr>
      </w:pPr>
    </w:p>
    <w:p w14:paraId="1BAFC4AC">
      <w:pPr>
        <w:widowControl/>
        <w:jc w:val="center"/>
        <w:rPr>
          <w:rFonts w:ascii="宋体" w:hAnsi="宋体"/>
        </w:rPr>
      </w:pPr>
      <w:bookmarkStart w:id="46" w:name="建筑附近声压分布鸟瞰图夜"/>
      <w:bookmarkEnd w:id="46"/>
      <w:r>
        <w:drawing>
          <wp:inline distT="0" distB="0" distL="0" distR="0">
            <wp:extent cx="5667375" cy="274320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9"/>
                    <a:stretch>
                      <a:fillRect/>
                    </a:stretch>
                  </pic:blipFill>
                  <pic:spPr>
                    <a:xfrm>
                      <a:off x="0" y="0"/>
                      <a:ext cx="5667375" cy="2743200"/>
                    </a:xfrm>
                    <a:prstGeom prst="rect">
                      <a:avLst/>
                    </a:prstGeom>
                  </pic:spPr>
                </pic:pic>
              </a:graphicData>
            </a:graphic>
          </wp:inline>
        </w:drawing>
      </w:r>
    </w:p>
    <w:p w14:paraId="4118C4BD">
      <w:pPr>
        <w:widowControl/>
        <w:jc w:val="center"/>
        <w:rPr>
          <w:kern w:val="0"/>
          <w:sz w:val="18"/>
          <w:szCs w:val="16"/>
        </w:rPr>
      </w:pPr>
      <w:r>
        <w:rPr>
          <w:rFonts w:hint="eastAsia"/>
          <w:kern w:val="0"/>
          <w:sz w:val="18"/>
          <w:szCs w:val="16"/>
        </w:rPr>
        <w:t>图4.</w:t>
      </w:r>
      <w:r>
        <w:rPr>
          <w:kern w:val="0"/>
          <w:sz w:val="18"/>
          <w:szCs w:val="16"/>
        </w:rPr>
        <w:t>2-4</w:t>
      </w:r>
      <w:r>
        <w:rPr>
          <w:rFonts w:hint="eastAsia"/>
          <w:kern w:val="0"/>
          <w:sz w:val="18"/>
          <w:szCs w:val="16"/>
        </w:rPr>
        <w:t xml:space="preserve"> 参评建筑附近区域声压级鸟瞰分布图（夜间）</w:t>
      </w:r>
    </w:p>
    <w:p w14:paraId="37F20F1F">
      <w:pPr>
        <w:widowControl/>
        <w:spacing w:before="240" w:line="276" w:lineRule="auto"/>
        <w:ind w:firstLine="420"/>
        <w:rPr>
          <w:rFonts w:ascii="Times New Roman" w:hAnsi="Times New Roman" w:cs="宋体"/>
        </w:rPr>
      </w:pPr>
      <w:r>
        <w:rPr>
          <w:rFonts w:hint="eastAsia" w:ascii="Times New Roman" w:hAnsi="Times New Roman" w:cs="宋体"/>
        </w:rPr>
        <w:t>综合上述分析，对场地内部每栋噪声敏感建筑物达标情况分别进行了判定统计，本项目内部全部参评建筑达标情况汇总如下：</w:t>
      </w:r>
    </w:p>
    <w:p w14:paraId="5BDF8732">
      <w:pPr>
        <w:widowControl/>
        <w:spacing w:before="240"/>
        <w:jc w:val="center"/>
        <w:rPr>
          <w:sz w:val="18"/>
          <w:szCs w:val="18"/>
        </w:rPr>
      </w:pPr>
      <w:r>
        <w:rPr>
          <w:rFonts w:hint="eastAsia" w:cs="宋体"/>
          <w:sz w:val="18"/>
          <w:szCs w:val="18"/>
        </w:rPr>
        <w:t xml:space="preserve">               </w:t>
      </w:r>
      <w:r>
        <w:rPr>
          <w:rFonts w:cs="宋体"/>
          <w:sz w:val="18"/>
          <w:szCs w:val="18"/>
        </w:rPr>
        <w:t xml:space="preserve">  </w:t>
      </w:r>
      <w:r>
        <w:rPr>
          <w:rFonts w:hint="eastAsia"/>
          <w:kern w:val="0"/>
          <w:sz w:val="18"/>
          <w:szCs w:val="16"/>
        </w:rPr>
        <w:t xml:space="preserve"> </w:t>
      </w:r>
      <w:r>
        <w:rPr>
          <w:kern w:val="0"/>
          <w:sz w:val="18"/>
          <w:szCs w:val="16"/>
        </w:rPr>
        <w:t xml:space="preserve">        </w:t>
      </w:r>
      <w:r>
        <w:rPr>
          <w:rFonts w:hint="eastAsia"/>
          <w:kern w:val="0"/>
          <w:sz w:val="18"/>
          <w:szCs w:val="16"/>
        </w:rPr>
        <w:t xml:space="preserve"> 表4</w:t>
      </w:r>
      <w:r>
        <w:rPr>
          <w:kern w:val="0"/>
          <w:sz w:val="18"/>
          <w:szCs w:val="16"/>
        </w:rPr>
        <w:t xml:space="preserve">.2 </w:t>
      </w:r>
      <w:r>
        <w:rPr>
          <w:rFonts w:hint="eastAsia"/>
          <w:kern w:val="0"/>
          <w:sz w:val="18"/>
          <w:szCs w:val="16"/>
        </w:rPr>
        <w:t xml:space="preserve">参评建筑达标统计  </w:t>
      </w:r>
      <w:r>
        <w:rPr>
          <w:kern w:val="0"/>
          <w:sz w:val="18"/>
          <w:szCs w:val="16"/>
        </w:rPr>
        <w:t xml:space="preserve">                </w:t>
      </w:r>
      <w:r>
        <w:rPr>
          <w:rFonts w:hint="eastAsia"/>
          <w:kern w:val="0"/>
          <w:sz w:val="18"/>
          <w:szCs w:val="16"/>
        </w:rPr>
        <w:t xml:space="preserve">   单位</w:t>
      </w:r>
      <w:r>
        <w:rPr>
          <w:kern w:val="0"/>
          <w:sz w:val="18"/>
          <w:szCs w:val="16"/>
        </w:rPr>
        <w:t>：dB(A</w:t>
      </w:r>
      <w:r>
        <w:rPr>
          <w:rFonts w:hint="eastAsia"/>
          <w:kern w:val="0"/>
          <w:sz w:val="18"/>
          <w:szCs w:val="16"/>
        </w:rPr>
        <w:t>)</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50"/>
        <w:gridCol w:w="848"/>
        <w:gridCol w:w="1301"/>
        <w:gridCol w:w="1301"/>
        <w:gridCol w:w="1301"/>
        <w:gridCol w:w="1358"/>
      </w:tblGrid>
      <w:tr w14:paraId="7E5B7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B6142EE">
            <w:pPr>
              <w:jc w:val="center"/>
              <w:rPr>
                <w:sz w:val="21"/>
                <w:szCs w:val="21"/>
              </w:rPr>
            </w:pPr>
            <w:r>
              <w:rPr>
                <w:sz w:val="21"/>
                <w:szCs w:val="21"/>
              </w:rPr>
              <w:t>建筑名称</w:t>
            </w:r>
          </w:p>
        </w:tc>
        <w:tc>
          <w:tcPr>
            <w:shd w:val="clear" w:color="auto" w:fill="E6E6E6"/>
            <w:vAlign w:val="center"/>
          </w:tcPr>
          <w:p w14:paraId="6624E561">
            <w:pPr>
              <w:jc w:val="center"/>
              <w:rPr>
                <w:sz w:val="21"/>
                <w:szCs w:val="21"/>
              </w:rPr>
            </w:pPr>
            <w:r>
              <w:rPr>
                <w:sz w:val="21"/>
                <w:szCs w:val="21"/>
              </w:rPr>
              <w:t>时段</w:t>
            </w:r>
          </w:p>
        </w:tc>
        <w:tc>
          <w:tcPr>
            <w:shd w:val="clear" w:color="auto" w:fill="E6E6E6"/>
            <w:vAlign w:val="center"/>
          </w:tcPr>
          <w:p w14:paraId="3929F5F9">
            <w:pPr>
              <w:jc w:val="center"/>
              <w:rPr>
                <w:sz w:val="21"/>
                <w:szCs w:val="21"/>
              </w:rPr>
            </w:pPr>
            <w:r>
              <w:rPr>
                <w:sz w:val="21"/>
                <w:szCs w:val="21"/>
              </w:rPr>
              <w:t>1.5米高度</w:t>
            </w:r>
            <w:r>
              <w:rPr>
                <w:sz w:val="21"/>
                <w:szCs w:val="21"/>
              </w:rPr>
              <w:br w:type="textWrapping"/>
            </w:r>
            <w:r>
              <w:rPr>
                <w:sz w:val="21"/>
                <w:szCs w:val="21"/>
              </w:rPr>
              <w:t>噪声最大值</w:t>
            </w:r>
          </w:p>
        </w:tc>
        <w:tc>
          <w:tcPr>
            <w:shd w:val="clear" w:color="auto" w:fill="E6E6E6"/>
            <w:vAlign w:val="center"/>
          </w:tcPr>
          <w:p w14:paraId="4468B189">
            <w:pPr>
              <w:jc w:val="center"/>
              <w:rPr>
                <w:sz w:val="21"/>
                <w:szCs w:val="21"/>
              </w:rPr>
            </w:pPr>
            <w:r>
              <w:rPr>
                <w:sz w:val="21"/>
                <w:szCs w:val="21"/>
              </w:rPr>
              <w:t>2类</w:t>
            </w:r>
            <w:r>
              <w:rPr>
                <w:sz w:val="21"/>
                <w:szCs w:val="21"/>
              </w:rPr>
              <w:br w:type="textWrapping"/>
            </w:r>
            <w:r>
              <w:rPr>
                <w:sz w:val="21"/>
                <w:szCs w:val="21"/>
              </w:rPr>
              <w:t>噪声限值</w:t>
            </w:r>
          </w:p>
        </w:tc>
        <w:tc>
          <w:tcPr>
            <w:shd w:val="clear" w:color="auto" w:fill="E6E6E6"/>
            <w:vAlign w:val="center"/>
          </w:tcPr>
          <w:p w14:paraId="1DFDA8BF">
            <w:pPr>
              <w:jc w:val="center"/>
              <w:rPr>
                <w:sz w:val="21"/>
                <w:szCs w:val="21"/>
              </w:rPr>
            </w:pPr>
            <w:r>
              <w:rPr>
                <w:sz w:val="21"/>
                <w:szCs w:val="21"/>
              </w:rPr>
              <w:t>3类</w:t>
            </w:r>
            <w:r>
              <w:rPr>
                <w:sz w:val="21"/>
                <w:szCs w:val="21"/>
              </w:rPr>
              <w:br w:type="textWrapping"/>
            </w:r>
            <w:r>
              <w:rPr>
                <w:sz w:val="21"/>
                <w:szCs w:val="21"/>
              </w:rPr>
              <w:t>噪声限值</w:t>
            </w:r>
          </w:p>
        </w:tc>
        <w:tc>
          <w:tcPr>
            <w:shd w:val="clear" w:color="auto" w:fill="E6E6E6"/>
            <w:vAlign w:val="center"/>
          </w:tcPr>
          <w:p w14:paraId="35BCFF92">
            <w:pPr>
              <w:jc w:val="center"/>
              <w:rPr>
                <w:sz w:val="21"/>
                <w:szCs w:val="21"/>
              </w:rPr>
            </w:pPr>
            <w:r>
              <w:rPr>
                <w:sz w:val="21"/>
                <w:szCs w:val="21"/>
              </w:rPr>
              <w:t>得分</w:t>
            </w:r>
            <w:r>
              <w:rPr>
                <w:sz w:val="21"/>
                <w:szCs w:val="21"/>
              </w:rPr>
              <w:br w:type="textWrapping"/>
            </w:r>
            <w:r>
              <w:rPr>
                <w:sz w:val="21"/>
                <w:szCs w:val="21"/>
              </w:rPr>
              <w:t>情况</w:t>
            </w:r>
          </w:p>
        </w:tc>
      </w:tr>
      <w:tr w14:paraId="47ACC3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529F21C">
            <w:pPr>
              <w:jc w:val="center"/>
              <w:rPr>
                <w:sz w:val="21"/>
                <w:szCs w:val="21"/>
              </w:rPr>
            </w:pPr>
            <w:r>
              <w:rPr>
                <w:sz w:val="21"/>
                <w:szCs w:val="21"/>
              </w:rPr>
              <w:t>DT</w:t>
            </w:r>
          </w:p>
        </w:tc>
        <w:tc>
          <w:tcPr>
            <w:vAlign w:val="center"/>
          </w:tcPr>
          <w:p w14:paraId="59106B95">
            <w:pPr>
              <w:jc w:val="center"/>
              <w:rPr>
                <w:sz w:val="21"/>
                <w:szCs w:val="21"/>
              </w:rPr>
            </w:pPr>
            <w:r>
              <w:rPr>
                <w:sz w:val="21"/>
                <w:szCs w:val="21"/>
              </w:rPr>
              <w:t>昼间</w:t>
            </w:r>
          </w:p>
        </w:tc>
        <w:tc>
          <w:tcPr>
            <w:vAlign w:val="center"/>
          </w:tcPr>
          <w:p w14:paraId="54769948">
            <w:pPr>
              <w:jc w:val="center"/>
              <w:rPr>
                <w:sz w:val="21"/>
                <w:szCs w:val="21"/>
              </w:rPr>
            </w:pPr>
            <w:r>
              <w:rPr>
                <w:sz w:val="21"/>
                <w:szCs w:val="21"/>
              </w:rPr>
              <w:t>41</w:t>
            </w:r>
          </w:p>
        </w:tc>
        <w:tc>
          <w:tcPr>
            <w:vAlign w:val="center"/>
          </w:tcPr>
          <w:p w14:paraId="6DE06A8B">
            <w:pPr>
              <w:jc w:val="center"/>
              <w:rPr>
                <w:sz w:val="21"/>
                <w:szCs w:val="21"/>
              </w:rPr>
            </w:pPr>
            <w:r>
              <w:rPr>
                <w:sz w:val="21"/>
                <w:szCs w:val="21"/>
              </w:rPr>
              <w:t>60</w:t>
            </w:r>
          </w:p>
        </w:tc>
        <w:tc>
          <w:tcPr>
            <w:vAlign w:val="center"/>
          </w:tcPr>
          <w:p w14:paraId="4E0F08A6">
            <w:pPr>
              <w:jc w:val="center"/>
              <w:rPr>
                <w:sz w:val="21"/>
                <w:szCs w:val="21"/>
              </w:rPr>
            </w:pPr>
            <w:r>
              <w:rPr>
                <w:sz w:val="21"/>
                <w:szCs w:val="21"/>
              </w:rPr>
              <w:t>65</w:t>
            </w:r>
          </w:p>
        </w:tc>
        <w:tc>
          <w:tcPr>
            <w:vMerge w:val="restart"/>
            <w:vAlign w:val="center"/>
          </w:tcPr>
          <w:p w14:paraId="220046BB">
            <w:pPr>
              <w:jc w:val="center"/>
              <w:rPr>
                <w:sz w:val="21"/>
                <w:szCs w:val="21"/>
              </w:rPr>
            </w:pPr>
            <w:r>
              <w:rPr>
                <w:sz w:val="21"/>
                <w:szCs w:val="21"/>
              </w:rPr>
              <w:t>10</w:t>
            </w:r>
          </w:p>
        </w:tc>
      </w:tr>
      <w:tr w14:paraId="64BBC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3AA245">
            <w:pPr>
              <w:jc w:val="center"/>
              <w:rPr>
                <w:sz w:val="21"/>
                <w:szCs w:val="21"/>
              </w:rPr>
            </w:pPr>
          </w:p>
        </w:tc>
        <w:tc>
          <w:tcPr>
            <w:vAlign w:val="center"/>
          </w:tcPr>
          <w:p w14:paraId="70C8DAAC">
            <w:pPr>
              <w:jc w:val="center"/>
              <w:rPr>
                <w:sz w:val="21"/>
                <w:szCs w:val="21"/>
              </w:rPr>
            </w:pPr>
            <w:r>
              <w:rPr>
                <w:sz w:val="21"/>
                <w:szCs w:val="21"/>
              </w:rPr>
              <w:t>夜间</w:t>
            </w:r>
          </w:p>
        </w:tc>
        <w:tc>
          <w:tcPr>
            <w:vAlign w:val="center"/>
          </w:tcPr>
          <w:p w14:paraId="173A00A4">
            <w:pPr>
              <w:jc w:val="center"/>
              <w:rPr>
                <w:sz w:val="21"/>
                <w:szCs w:val="21"/>
              </w:rPr>
            </w:pPr>
            <w:r>
              <w:rPr>
                <w:sz w:val="21"/>
                <w:szCs w:val="21"/>
              </w:rPr>
              <w:t>31</w:t>
            </w:r>
          </w:p>
        </w:tc>
        <w:tc>
          <w:tcPr>
            <w:vAlign w:val="center"/>
          </w:tcPr>
          <w:p w14:paraId="0368F1F4">
            <w:pPr>
              <w:jc w:val="center"/>
              <w:rPr>
                <w:sz w:val="21"/>
                <w:szCs w:val="21"/>
              </w:rPr>
            </w:pPr>
            <w:r>
              <w:rPr>
                <w:sz w:val="21"/>
                <w:szCs w:val="21"/>
              </w:rPr>
              <w:t>50</w:t>
            </w:r>
          </w:p>
        </w:tc>
        <w:tc>
          <w:tcPr>
            <w:vAlign w:val="center"/>
          </w:tcPr>
          <w:p w14:paraId="25415E7C">
            <w:pPr>
              <w:jc w:val="center"/>
              <w:rPr>
                <w:sz w:val="21"/>
                <w:szCs w:val="21"/>
              </w:rPr>
            </w:pPr>
            <w:r>
              <w:rPr>
                <w:sz w:val="21"/>
                <w:szCs w:val="21"/>
              </w:rPr>
              <w:t>55</w:t>
            </w:r>
          </w:p>
        </w:tc>
        <w:tc>
          <w:tcPr>
            <w:vMerge w:val="continue"/>
            <w:vAlign w:val="center"/>
          </w:tcPr>
          <w:p w14:paraId="74DC80F3">
            <w:pPr>
              <w:jc w:val="center"/>
              <w:rPr>
                <w:sz w:val="21"/>
                <w:szCs w:val="21"/>
              </w:rPr>
            </w:pPr>
          </w:p>
        </w:tc>
      </w:tr>
    </w:tbl>
    <w:p w14:paraId="2952646E">
      <w:pPr>
        <w:widowControl/>
        <w:jc w:val="center"/>
        <w:rPr>
          <w:rFonts w:ascii="Times New Roman" w:hAnsi="Times New Roman"/>
        </w:rPr>
      </w:pPr>
      <w:bookmarkStart w:id="47" w:name="建筑物噪声最大值统计表格"/>
      <w:bookmarkEnd w:id="47"/>
    </w:p>
    <w:p w14:paraId="58E38C94">
      <w:pPr>
        <w:pStyle w:val="2"/>
        <w:rPr>
          <w:sz w:val="28"/>
          <w:szCs w:val="28"/>
        </w:rPr>
      </w:pPr>
      <w:bookmarkStart w:id="48" w:name="_Toc479326730"/>
      <w:bookmarkStart w:id="49" w:name="_Toc6471"/>
      <w:r>
        <w:rPr>
          <w:rFonts w:hint="eastAsia"/>
          <w:sz w:val="28"/>
          <w:szCs w:val="28"/>
        </w:rPr>
        <w:t>5.结论</w:t>
      </w:r>
      <w:bookmarkEnd w:id="48"/>
      <w:bookmarkEnd w:id="49"/>
    </w:p>
    <w:p w14:paraId="590900DF">
      <w:pPr>
        <w:ind w:firstLine="420" w:firstLineChars="200"/>
      </w:pPr>
      <w:r>
        <w:rPr>
          <w:rFonts w:hint="eastAsia"/>
        </w:rPr>
        <w:t>《绿色建筑评价标准》</w:t>
      </w:r>
      <w:r>
        <w:t>GB 50378</w:t>
      </w:r>
      <w:r>
        <w:rPr>
          <w:rFonts w:hint="eastAsia"/>
        </w:rPr>
        <w:t>第</w:t>
      </w:r>
      <w:r>
        <w:t>8.2.6</w:t>
      </w:r>
      <w:r>
        <w:rPr>
          <w:rFonts w:hint="eastAsia"/>
        </w:rPr>
        <w:t>条的要求：场地内环境噪声符合现行国家标准《声环境质量标准》</w:t>
      </w:r>
      <w:r>
        <w:t>GB 3096</w:t>
      </w:r>
      <w:r>
        <w:rPr>
          <w:rFonts w:hint="eastAsia"/>
        </w:rPr>
        <w:t>的有关规定，环境噪声值大于2类声环境功能区标准限值，且小于或等于3类声环境功能区标准限值，得5分。环境噪声值小于或等于2类声环境功能区标准限值，得10分。</w:t>
      </w:r>
    </w:p>
    <w:p w14:paraId="2C94E195">
      <w:pPr>
        <w:widowControl/>
        <w:spacing w:before="240"/>
        <w:jc w:val="center"/>
        <w:rPr>
          <w:rFonts w:cs="宋体"/>
          <w:sz w:val="18"/>
          <w:szCs w:val="18"/>
        </w:rPr>
      </w:pPr>
      <w:r>
        <w:rPr>
          <w:rFonts w:hint="eastAsia" w:cs="宋体"/>
          <w:sz w:val="18"/>
          <w:szCs w:val="18"/>
        </w:rPr>
        <w:t xml:space="preserve"> </w:t>
      </w:r>
      <w:r>
        <w:rPr>
          <w:rFonts w:cs="宋体"/>
          <w:sz w:val="18"/>
          <w:szCs w:val="18"/>
        </w:rPr>
        <w:t xml:space="preserve">                          </w:t>
      </w:r>
      <w:r>
        <w:rPr>
          <w:rFonts w:hint="eastAsia" w:cs="宋体"/>
          <w:sz w:val="18"/>
          <w:szCs w:val="18"/>
        </w:rPr>
        <w:t>表5-</w:t>
      </w:r>
      <w:r>
        <w:rPr>
          <w:rFonts w:cs="宋体"/>
          <w:sz w:val="18"/>
          <w:szCs w:val="18"/>
        </w:rPr>
        <w:t>1</w:t>
      </w:r>
      <w:r>
        <w:rPr>
          <w:rFonts w:hint="eastAsia" w:cs="宋体"/>
          <w:sz w:val="18"/>
          <w:szCs w:val="18"/>
        </w:rPr>
        <w:t xml:space="preserve">   环境噪声综合得分表     </w:t>
      </w:r>
      <w:r>
        <w:rPr>
          <w:rFonts w:cs="宋体"/>
          <w:sz w:val="18"/>
          <w:szCs w:val="18"/>
        </w:rPr>
        <w:t xml:space="preserve">  </w:t>
      </w:r>
      <w:r>
        <w:rPr>
          <w:rFonts w:hint="eastAsia" w:cs="宋体"/>
          <w:sz w:val="18"/>
          <w:szCs w:val="18"/>
        </w:rPr>
        <w:t xml:space="preserve">  </w:t>
      </w:r>
      <w:r>
        <w:rPr>
          <w:rFonts w:cs="宋体"/>
          <w:sz w:val="18"/>
          <w:szCs w:val="18"/>
        </w:rPr>
        <w:t xml:space="preserve">    </w:t>
      </w:r>
      <w:r>
        <w:rPr>
          <w:rFonts w:hint="eastAsia" w:cs="宋体"/>
          <w:sz w:val="18"/>
          <w:szCs w:val="18"/>
        </w:rPr>
        <w:t xml:space="preserve">   </w:t>
      </w:r>
      <w:r>
        <w:rPr>
          <w:rFonts w:cs="宋体"/>
          <w:sz w:val="18"/>
          <w:szCs w:val="18"/>
        </w:rPr>
        <w:t xml:space="preserve">    </w:t>
      </w:r>
      <w:r>
        <w:rPr>
          <w:rFonts w:hint="eastAsia" w:cs="宋体"/>
          <w:sz w:val="18"/>
          <w:szCs w:val="18"/>
        </w:rPr>
        <w:t xml:space="preserve"> 单位：dB(A)</w:t>
      </w:r>
    </w:p>
    <w:tbl>
      <w:tblPr>
        <w:tblStyle w:val="16"/>
        <w:tblW w:w="8278" w:type="dxa"/>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Layout w:type="autofit"/>
        <w:tblCellMar>
          <w:top w:w="0" w:type="dxa"/>
          <w:left w:w="108" w:type="dxa"/>
          <w:bottom w:w="0" w:type="dxa"/>
          <w:right w:w="108" w:type="dxa"/>
        </w:tblCellMar>
      </w:tblPr>
      <w:tblGrid>
        <w:gridCol w:w="1655"/>
        <w:gridCol w:w="1655"/>
        <w:gridCol w:w="1655"/>
        <w:gridCol w:w="1656"/>
        <w:gridCol w:w="1657"/>
      </w:tblGrid>
      <w:tr w14:paraId="35E8581B">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12" w:space="0"/>
              <w:bottom w:val="single" w:color="000000" w:themeColor="text1" w:sz="6" w:space="0"/>
            </w:tcBorders>
            <w:shd w:val="clear" w:color="auto" w:fill="F1F1F1" w:themeFill="background1" w:themeFillShade="F2"/>
          </w:tcPr>
          <w:p w14:paraId="669EE678">
            <w:pPr>
              <w:jc w:val="center"/>
            </w:pPr>
            <w:r>
              <w:rPr>
                <w:rFonts w:hint="eastAsia"/>
              </w:rPr>
              <w:t>时段</w:t>
            </w:r>
          </w:p>
        </w:tc>
        <w:tc>
          <w:tcPr>
            <w:tcW w:w="1659" w:type="dxa"/>
            <w:tcBorders>
              <w:top w:val="single" w:color="000000" w:themeColor="text1" w:sz="12" w:space="0"/>
              <w:bottom w:val="single" w:color="000000" w:themeColor="text1" w:sz="6" w:space="0"/>
            </w:tcBorders>
            <w:shd w:val="clear" w:color="auto" w:fill="F1F1F1" w:themeFill="background1" w:themeFillShade="F2"/>
          </w:tcPr>
          <w:p w14:paraId="78FC8586">
            <w:pPr>
              <w:jc w:val="center"/>
            </w:pPr>
            <w:r>
              <w:rPr>
                <w:rFonts w:hint="eastAsia"/>
              </w:rPr>
              <w:t>噪声最大值</w:t>
            </w:r>
          </w:p>
        </w:tc>
        <w:tc>
          <w:tcPr>
            <w:tcW w:w="1659" w:type="dxa"/>
            <w:tcBorders>
              <w:top w:val="single" w:color="000000" w:themeColor="text1" w:sz="12" w:space="0"/>
              <w:bottom w:val="single" w:color="000000" w:themeColor="text1" w:sz="6" w:space="0"/>
            </w:tcBorders>
            <w:shd w:val="clear" w:color="auto" w:fill="F1F1F1" w:themeFill="background1" w:themeFillShade="F2"/>
          </w:tcPr>
          <w:p w14:paraId="0A9B5028">
            <w:pPr>
              <w:jc w:val="center"/>
            </w:pPr>
            <w:r>
              <w:t>2</w:t>
            </w:r>
            <w:r>
              <w:rPr>
                <w:rFonts w:hint="eastAsia"/>
              </w:rPr>
              <w:t>类噪声限值</w:t>
            </w:r>
          </w:p>
        </w:tc>
        <w:tc>
          <w:tcPr>
            <w:tcW w:w="1659" w:type="dxa"/>
            <w:tcBorders>
              <w:top w:val="single" w:color="000000" w:themeColor="text1" w:sz="12" w:space="0"/>
              <w:bottom w:val="single" w:color="000000" w:themeColor="text1" w:sz="6" w:space="0"/>
            </w:tcBorders>
            <w:shd w:val="clear" w:color="auto" w:fill="F1F1F1" w:themeFill="background1" w:themeFillShade="F2"/>
          </w:tcPr>
          <w:p w14:paraId="035EC65B">
            <w:pPr>
              <w:jc w:val="center"/>
            </w:pPr>
            <w:r>
              <w:t>3</w:t>
            </w:r>
            <w:r>
              <w:rPr>
                <w:rFonts w:hint="eastAsia"/>
              </w:rPr>
              <w:t>类噪声限值</w:t>
            </w:r>
          </w:p>
        </w:tc>
        <w:tc>
          <w:tcPr>
            <w:tcW w:w="1660" w:type="dxa"/>
            <w:tcBorders>
              <w:top w:val="single" w:color="000000" w:themeColor="text1" w:sz="12" w:space="0"/>
              <w:bottom w:val="single" w:color="000000" w:themeColor="text1" w:sz="6" w:space="0"/>
            </w:tcBorders>
            <w:shd w:val="clear" w:color="auto" w:fill="F1F1F1" w:themeFill="background1" w:themeFillShade="F2"/>
          </w:tcPr>
          <w:p w14:paraId="65EC50E5">
            <w:pPr>
              <w:jc w:val="center"/>
            </w:pPr>
            <w:r>
              <w:rPr>
                <w:rFonts w:hint="eastAsia"/>
              </w:rPr>
              <w:t>得分情况</w:t>
            </w:r>
          </w:p>
        </w:tc>
      </w:tr>
      <w:tr w14:paraId="361287F5">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6" w:space="0"/>
            </w:tcBorders>
          </w:tcPr>
          <w:p w14:paraId="2D88C167">
            <w:pPr>
              <w:jc w:val="center"/>
            </w:pPr>
            <w:r>
              <w:rPr>
                <w:rFonts w:hint="eastAsia"/>
              </w:rPr>
              <w:t>昼间</w:t>
            </w:r>
          </w:p>
        </w:tc>
        <w:tc>
          <w:tcPr>
            <w:tcW w:w="1659" w:type="dxa"/>
            <w:tcBorders>
              <w:top w:val="single" w:color="000000" w:themeColor="text1" w:sz="6" w:space="0"/>
            </w:tcBorders>
          </w:tcPr>
          <w:p w14:paraId="72704BBB">
            <w:pPr>
              <w:jc w:val="center"/>
              <w:rPr>
                <w:bCs/>
              </w:rPr>
            </w:pPr>
            <w:bookmarkStart w:id="50" w:name="昼间噪声最大值"/>
            <w:r>
              <w:rPr>
                <w:bCs/>
              </w:rPr>
              <w:t>41</w:t>
            </w:r>
            <w:bookmarkEnd w:id="50"/>
          </w:p>
        </w:tc>
        <w:tc>
          <w:tcPr>
            <w:tcW w:w="1659" w:type="dxa"/>
            <w:tcBorders>
              <w:top w:val="single" w:color="000000" w:themeColor="text1" w:sz="6" w:space="0"/>
            </w:tcBorders>
          </w:tcPr>
          <w:p w14:paraId="5916316E">
            <w:pPr>
              <w:jc w:val="center"/>
            </w:pPr>
            <w:r>
              <w:rPr>
                <w:bCs/>
              </w:rPr>
              <w:t>60</w:t>
            </w:r>
          </w:p>
        </w:tc>
        <w:tc>
          <w:tcPr>
            <w:tcW w:w="1659" w:type="dxa"/>
            <w:tcBorders>
              <w:top w:val="single" w:color="000000" w:themeColor="text1" w:sz="6" w:space="0"/>
            </w:tcBorders>
          </w:tcPr>
          <w:p w14:paraId="43732366">
            <w:pPr>
              <w:jc w:val="center"/>
            </w:pPr>
            <w:r>
              <w:rPr>
                <w:bCs/>
              </w:rPr>
              <w:t>65</w:t>
            </w:r>
          </w:p>
        </w:tc>
        <w:tc>
          <w:tcPr>
            <w:tcW w:w="1660" w:type="dxa"/>
            <w:vMerge w:val="restart"/>
            <w:tcBorders>
              <w:top w:val="single" w:color="000000" w:themeColor="text1" w:sz="6" w:space="0"/>
            </w:tcBorders>
            <w:vAlign w:val="center"/>
          </w:tcPr>
          <w:p w14:paraId="3321E31C">
            <w:pPr>
              <w:jc w:val="center"/>
              <w:rPr>
                <w:b/>
                <w:bCs/>
              </w:rPr>
            </w:pPr>
            <w:bookmarkStart w:id="51" w:name="得分情况"/>
            <w:r>
              <w:rPr>
                <w:b/>
                <w:bCs/>
              </w:rPr>
              <w:t>10</w:t>
            </w:r>
            <w:bookmarkEnd w:id="51"/>
            <w:r>
              <w:rPr>
                <w:rFonts w:hint="eastAsia"/>
                <w:b/>
                <w:bCs/>
              </w:rPr>
              <w:t>分</w:t>
            </w:r>
          </w:p>
        </w:tc>
      </w:tr>
      <w:tr w14:paraId="31491DF0">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Pr>
          <w:p w14:paraId="7FF69339">
            <w:pPr>
              <w:jc w:val="center"/>
            </w:pPr>
            <w:r>
              <w:rPr>
                <w:rFonts w:hint="eastAsia"/>
              </w:rPr>
              <w:t>夜间</w:t>
            </w:r>
          </w:p>
        </w:tc>
        <w:tc>
          <w:tcPr>
            <w:tcW w:w="1659" w:type="dxa"/>
          </w:tcPr>
          <w:p w14:paraId="317AEE04">
            <w:pPr>
              <w:jc w:val="center"/>
              <w:rPr>
                <w:bCs/>
              </w:rPr>
            </w:pPr>
            <w:bookmarkStart w:id="52" w:name="夜间噪声最大值"/>
            <w:r>
              <w:rPr>
                <w:bCs/>
              </w:rPr>
              <w:t>31</w:t>
            </w:r>
            <w:bookmarkEnd w:id="52"/>
          </w:p>
        </w:tc>
        <w:tc>
          <w:tcPr>
            <w:tcW w:w="1659" w:type="dxa"/>
          </w:tcPr>
          <w:p w14:paraId="5409D01E">
            <w:pPr>
              <w:jc w:val="center"/>
              <w:rPr>
                <w:b/>
              </w:rPr>
            </w:pPr>
            <w:r>
              <w:rPr>
                <w:bCs/>
              </w:rPr>
              <w:t>50</w:t>
            </w:r>
          </w:p>
        </w:tc>
        <w:tc>
          <w:tcPr>
            <w:tcW w:w="1659" w:type="dxa"/>
          </w:tcPr>
          <w:p w14:paraId="1781DF60">
            <w:pPr>
              <w:jc w:val="center"/>
              <w:rPr>
                <w:b/>
              </w:rPr>
            </w:pPr>
            <w:r>
              <w:rPr>
                <w:bCs/>
              </w:rPr>
              <w:t>55</w:t>
            </w:r>
          </w:p>
        </w:tc>
        <w:tc>
          <w:tcPr>
            <w:tcW w:w="1660" w:type="dxa"/>
            <w:vMerge w:val="continue"/>
          </w:tcPr>
          <w:p w14:paraId="6C631C7F">
            <w:pPr>
              <w:jc w:val="center"/>
              <w:rPr>
                <w:b/>
              </w:rPr>
            </w:pPr>
          </w:p>
        </w:tc>
      </w:tr>
    </w:tbl>
    <w:p w14:paraId="5B128CAC">
      <w:pPr>
        <w:pStyle w:val="33"/>
        <w:spacing w:before="240"/>
        <w:ind w:firstLine="420"/>
        <w:rPr>
          <w:sz w:val="21"/>
          <w:szCs w:val="21"/>
        </w:rPr>
      </w:pPr>
      <w:r>
        <w:rPr>
          <w:rFonts w:hint="eastAsia" w:ascii="宋体" w:hAnsi="Calibri"/>
          <w:sz w:val="21"/>
          <w:szCs w:val="21"/>
        </w:rPr>
        <w:t>综上所述，经过软件模拟和结果统计分析，最终判定本项目</w:t>
      </w:r>
      <w:bookmarkStart w:id="53" w:name="满足结论"/>
      <w:r>
        <w:rPr>
          <w:rFonts w:hint="eastAsia"/>
          <w:b/>
          <w:sz w:val="21"/>
        </w:rPr>
        <w:t>满足</w:t>
      </w:r>
      <w:bookmarkEnd w:id="53"/>
      <w:r>
        <w:rPr>
          <w:rFonts w:hint="eastAsia" w:ascii="宋体" w:hAnsi="Calibri"/>
          <w:sz w:val="21"/>
          <w:szCs w:val="21"/>
        </w:rPr>
        <w:t>《绿色建筑评价标准》</w:t>
      </w:r>
      <w:r>
        <w:rPr>
          <w:rFonts w:ascii="微软雅黑" w:hAnsi="微软雅黑"/>
          <w:sz w:val="21"/>
          <w:szCs w:val="21"/>
        </w:rPr>
        <w:t>GB</w:t>
      </w:r>
      <w:r>
        <w:rPr>
          <w:rFonts w:hint="eastAsia" w:ascii="微软雅黑" w:hAnsi="微软雅黑"/>
          <w:sz w:val="21"/>
          <w:szCs w:val="21"/>
        </w:rPr>
        <w:t xml:space="preserve"> </w:t>
      </w:r>
      <w:r>
        <w:rPr>
          <w:rFonts w:ascii="微软雅黑" w:hAnsi="微软雅黑"/>
          <w:sz w:val="21"/>
          <w:szCs w:val="21"/>
        </w:rPr>
        <w:t>50378-2019</w:t>
      </w:r>
      <w:r>
        <w:rPr>
          <w:rFonts w:hint="eastAsia" w:ascii="微软雅黑" w:hAnsi="微软雅黑"/>
          <w:sz w:val="21"/>
          <w:szCs w:val="21"/>
        </w:rPr>
        <w:t>第8.2.6条</w:t>
      </w:r>
      <w:r>
        <w:rPr>
          <w:rFonts w:hint="eastAsia"/>
          <w:sz w:val="21"/>
          <w:szCs w:val="21"/>
        </w:rPr>
        <w:t>，</w:t>
      </w:r>
      <w:bookmarkStart w:id="54" w:name="得分结论"/>
      <w:r>
        <w:rPr>
          <w:b/>
          <w:sz w:val="21"/>
          <w:szCs w:val="21"/>
        </w:rPr>
        <w:t>得 10 分</w:t>
      </w:r>
      <w:bookmarkEnd w:id="54"/>
      <w:r>
        <w:rPr>
          <w:rFonts w:hint="eastAsia"/>
          <w:b/>
          <w:sz w:val="21"/>
          <w:szCs w:val="21"/>
        </w:rPr>
        <w:t>。</w:t>
      </w:r>
    </w:p>
    <w:sectPr>
      <w:headerReference r:id="rId6" w:type="default"/>
      <w:footerReference r:id="rId7"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15E84">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14:paraId="2353E790">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9080C">
    <w:pPr>
      <w:pStyle w:val="10"/>
      <w:rPr>
        <w:sz w:val="15"/>
        <w:szCs w:val="15"/>
      </w:rPr>
    </w:pPr>
    <w:r>
      <w:fldChar w:fldCharType="begin"/>
    </w:r>
    <w:r>
      <w:instrText xml:space="preserve"> HYPERLINK "http://www.gbsware.cn/" </w:instrText>
    </w:r>
    <w:r>
      <w:fldChar w:fldCharType="separate"/>
    </w:r>
    <w:r>
      <w:rPr>
        <w:kern w:val="0"/>
        <w:sz w:val="15"/>
        <w:szCs w:val="13"/>
        <w:lang w:val="en-GB"/>
      </w:rPr>
      <w:t>http://www.gbsware.cn/</w:t>
    </w:r>
    <w:r>
      <w:rPr>
        <w:kern w:val="0"/>
        <w:sz w:val="15"/>
        <w:szCs w:val="13"/>
        <w:lang w:val="en-GB"/>
      </w:rPr>
      <w:fldChar w:fldCharType="end"/>
    </w:r>
    <w:r>
      <w:rPr>
        <w:sz w:val="11"/>
        <w:szCs w:val="11"/>
      </w:rPr>
      <w:ptab w:relativeTo="margin" w:alignment="center" w:leader="none"/>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PAGE  \* Arabic  \* MERGEFORMAT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t>4</w:t>
    </w:r>
    <w:r>
      <w:rPr>
        <w:rFonts w:ascii="Times New Roman" w:hAnsi="Times New Roman"/>
        <w:kern w:val="0"/>
        <w:sz w:val="15"/>
        <w:szCs w:val="13"/>
        <w:lang w:val="en-GB"/>
      </w:rPr>
      <w:fldChar w:fldCharType="end"/>
    </w:r>
    <w:r>
      <w:rPr>
        <w:rFonts w:ascii="Times New Roman" w:hAnsi="Times New Roman"/>
        <w:b/>
        <w:kern w:val="0"/>
        <w:sz w:val="15"/>
        <w:szCs w:val="13"/>
        <w:lang w:val="en-GB"/>
      </w:rPr>
      <w:t>/</w: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w:instrTex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NUMPAGES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instrText xml:space="preserve">6</w:instrText>
    </w:r>
    <w:r>
      <w:rPr>
        <w:rFonts w:ascii="Times New Roman" w:hAnsi="Times New Roman"/>
        <w:kern w:val="0"/>
        <w:sz w:val="15"/>
        <w:szCs w:val="13"/>
        <w:lang w:val="en-GB"/>
      </w:rPr>
      <w:fldChar w:fldCharType="end"/>
    </w:r>
    <w:r>
      <w:rPr>
        <w:rFonts w:ascii="Times New Roman" w:hAnsi="Times New Roman"/>
        <w:kern w:val="0"/>
        <w:sz w:val="15"/>
        <w:szCs w:val="13"/>
        <w:lang w:val="en-GB"/>
      </w:rPr>
      <w:instrText xml:space="preserve">\* Arabic  \* MERGEFORMAT -2</w:instrText>
    </w:r>
    <w:r>
      <w:rPr>
        <w:rFonts w:ascii="Times New Roman" w:hAnsi="Times New Roman"/>
        <w:kern w:val="0"/>
        <w:sz w:val="15"/>
        <w:szCs w:val="13"/>
        <w:lang w:val="en-GB"/>
      </w:rPr>
      <w:fldChar w:fldCharType="separate"/>
    </w:r>
    <w:r>
      <w:rPr>
        <w:rFonts w:ascii="Times New Roman" w:hAnsi="Times New Roman"/>
        <w:b/>
        <w:kern w:val="0"/>
        <w:sz w:val="15"/>
        <w:szCs w:val="13"/>
        <w:lang w:val="en-GB"/>
      </w:rPr>
      <w:t>4</w:t>
    </w:r>
    <w:r>
      <w:rPr>
        <w:rFonts w:ascii="Times New Roman" w:hAnsi="Times New Roman"/>
        <w:kern w:val="0"/>
        <w:sz w:val="15"/>
        <w:szCs w:val="13"/>
        <w:lang w:val="en-GB"/>
      </w:rPr>
      <w:fldChar w:fldCharType="end"/>
    </w:r>
    <w:r>
      <w:rPr>
        <w:sz w:val="15"/>
        <w:szCs w:val="15"/>
      </w:rPr>
      <w:ptab w:relativeTo="margin" w:alignment="right" w:leader="none"/>
    </w:r>
    <w:r>
      <w:rPr>
        <w:sz w:val="15"/>
        <w:szCs w:val="15"/>
      </w:rPr>
      <w:t>S</w:t>
    </w:r>
    <w:r>
      <w:rPr>
        <w:rFonts w:hint="eastAsia"/>
        <w:sz w:val="15"/>
        <w:szCs w:val="15"/>
      </w:rPr>
      <w:t>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C1E03">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5FFE3">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1FF59">
    <w:pPr>
      <w:pStyle w:val="11"/>
    </w:pPr>
    <w:r>
      <w:drawing>
        <wp:inline distT="0" distB="0" distL="0" distR="0">
          <wp:extent cx="972185" cy="251460"/>
          <wp:effectExtent l="0" t="0" r="0" b="0"/>
          <wp:docPr id="1146074670" name="Picture 1146074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074670" name="Picture 11460746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室外噪声</w:t>
    </w:r>
    <w:r>
      <w:t>报告</w:t>
    </w:r>
    <w:r>
      <w:rPr>
        <w:rFonts w:hint="eastAsia"/>
      </w:rP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D5121A"/>
    <w:multiLevelType w:val="multilevel"/>
    <w:tmpl w:val="08D5121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2C324082"/>
    <w:multiLevelType w:val="multilevel"/>
    <w:tmpl w:val="2C32408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FCF3319"/>
    <w:multiLevelType w:val="multilevel"/>
    <w:tmpl w:val="6FCF331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E243BA0"/>
    <w:rsid w:val="00003EBD"/>
    <w:rsid w:val="00005A86"/>
    <w:rsid w:val="00032BE0"/>
    <w:rsid w:val="00042D61"/>
    <w:rsid w:val="00043921"/>
    <w:rsid w:val="00044BB2"/>
    <w:rsid w:val="000470A4"/>
    <w:rsid w:val="00063A75"/>
    <w:rsid w:val="00063DFD"/>
    <w:rsid w:val="0006664B"/>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8661E"/>
    <w:rsid w:val="001A503F"/>
    <w:rsid w:val="001A52EC"/>
    <w:rsid w:val="001A5826"/>
    <w:rsid w:val="001B052D"/>
    <w:rsid w:val="001B13F9"/>
    <w:rsid w:val="001C20FC"/>
    <w:rsid w:val="001C2917"/>
    <w:rsid w:val="001C4276"/>
    <w:rsid w:val="001C5401"/>
    <w:rsid w:val="001D3231"/>
    <w:rsid w:val="001D526F"/>
    <w:rsid w:val="001D603E"/>
    <w:rsid w:val="001D6444"/>
    <w:rsid w:val="001D68D9"/>
    <w:rsid w:val="001E372E"/>
    <w:rsid w:val="001E4E43"/>
    <w:rsid w:val="001F27D7"/>
    <w:rsid w:val="001F6A55"/>
    <w:rsid w:val="002021A9"/>
    <w:rsid w:val="0022186F"/>
    <w:rsid w:val="00223BB0"/>
    <w:rsid w:val="00223FD4"/>
    <w:rsid w:val="00224EB2"/>
    <w:rsid w:val="00234855"/>
    <w:rsid w:val="00234AFF"/>
    <w:rsid w:val="00234DDC"/>
    <w:rsid w:val="002412ED"/>
    <w:rsid w:val="00242726"/>
    <w:rsid w:val="002602B6"/>
    <w:rsid w:val="00264493"/>
    <w:rsid w:val="002659A1"/>
    <w:rsid w:val="00272200"/>
    <w:rsid w:val="0028422A"/>
    <w:rsid w:val="0028490B"/>
    <w:rsid w:val="00286700"/>
    <w:rsid w:val="002957ED"/>
    <w:rsid w:val="002A1F52"/>
    <w:rsid w:val="002A5DDB"/>
    <w:rsid w:val="002A6D8D"/>
    <w:rsid w:val="002B0E1C"/>
    <w:rsid w:val="002B23BF"/>
    <w:rsid w:val="002B262A"/>
    <w:rsid w:val="002B328B"/>
    <w:rsid w:val="002B3729"/>
    <w:rsid w:val="002B3AC4"/>
    <w:rsid w:val="002C05E5"/>
    <w:rsid w:val="002C183F"/>
    <w:rsid w:val="002C4D9C"/>
    <w:rsid w:val="002C64DD"/>
    <w:rsid w:val="002D393A"/>
    <w:rsid w:val="002E22E2"/>
    <w:rsid w:val="002E59ED"/>
    <w:rsid w:val="00304975"/>
    <w:rsid w:val="0031020C"/>
    <w:rsid w:val="00310B3F"/>
    <w:rsid w:val="003152FB"/>
    <w:rsid w:val="00317189"/>
    <w:rsid w:val="003175F4"/>
    <w:rsid w:val="00317EBE"/>
    <w:rsid w:val="0032154B"/>
    <w:rsid w:val="00321C1D"/>
    <w:rsid w:val="003313D3"/>
    <w:rsid w:val="003466B3"/>
    <w:rsid w:val="00350B24"/>
    <w:rsid w:val="003615F5"/>
    <w:rsid w:val="003617BB"/>
    <w:rsid w:val="00361C9E"/>
    <w:rsid w:val="00361D43"/>
    <w:rsid w:val="0036785B"/>
    <w:rsid w:val="00373CAE"/>
    <w:rsid w:val="003834A3"/>
    <w:rsid w:val="0038426F"/>
    <w:rsid w:val="0038471D"/>
    <w:rsid w:val="00385B5B"/>
    <w:rsid w:val="003916BD"/>
    <w:rsid w:val="003972FF"/>
    <w:rsid w:val="003A3902"/>
    <w:rsid w:val="003A4F31"/>
    <w:rsid w:val="003B0E86"/>
    <w:rsid w:val="003B4AF2"/>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6BAE"/>
    <w:rsid w:val="004474F8"/>
    <w:rsid w:val="00447BFE"/>
    <w:rsid w:val="004636CA"/>
    <w:rsid w:val="00465BD1"/>
    <w:rsid w:val="00472D0B"/>
    <w:rsid w:val="00473EBC"/>
    <w:rsid w:val="0047447A"/>
    <w:rsid w:val="00480A89"/>
    <w:rsid w:val="004857E9"/>
    <w:rsid w:val="00485D68"/>
    <w:rsid w:val="00492420"/>
    <w:rsid w:val="004949F1"/>
    <w:rsid w:val="00495CE8"/>
    <w:rsid w:val="004A4451"/>
    <w:rsid w:val="004B615B"/>
    <w:rsid w:val="004D286C"/>
    <w:rsid w:val="004D469B"/>
    <w:rsid w:val="004F1742"/>
    <w:rsid w:val="005034E9"/>
    <w:rsid w:val="00504290"/>
    <w:rsid w:val="00507D67"/>
    <w:rsid w:val="005108BD"/>
    <w:rsid w:val="00511F8C"/>
    <w:rsid w:val="00523106"/>
    <w:rsid w:val="005257D2"/>
    <w:rsid w:val="00533385"/>
    <w:rsid w:val="00534C28"/>
    <w:rsid w:val="0054589E"/>
    <w:rsid w:val="005523A5"/>
    <w:rsid w:val="00553731"/>
    <w:rsid w:val="005546A8"/>
    <w:rsid w:val="00554ABA"/>
    <w:rsid w:val="00573516"/>
    <w:rsid w:val="00577BAB"/>
    <w:rsid w:val="00582112"/>
    <w:rsid w:val="00595E38"/>
    <w:rsid w:val="00596BBF"/>
    <w:rsid w:val="005A1A90"/>
    <w:rsid w:val="005A6DF2"/>
    <w:rsid w:val="005A7933"/>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B5B"/>
    <w:rsid w:val="00637AFF"/>
    <w:rsid w:val="00640E0A"/>
    <w:rsid w:val="006448A0"/>
    <w:rsid w:val="006502BE"/>
    <w:rsid w:val="0065136A"/>
    <w:rsid w:val="0065654E"/>
    <w:rsid w:val="006660F4"/>
    <w:rsid w:val="00667148"/>
    <w:rsid w:val="00682C4F"/>
    <w:rsid w:val="00683ECD"/>
    <w:rsid w:val="00684423"/>
    <w:rsid w:val="00684684"/>
    <w:rsid w:val="00687BD4"/>
    <w:rsid w:val="00696819"/>
    <w:rsid w:val="006A4C1D"/>
    <w:rsid w:val="006B2CD4"/>
    <w:rsid w:val="006B44E5"/>
    <w:rsid w:val="006B4A8B"/>
    <w:rsid w:val="006D07B4"/>
    <w:rsid w:val="006E1CA1"/>
    <w:rsid w:val="006E7F52"/>
    <w:rsid w:val="007031AD"/>
    <w:rsid w:val="007108C0"/>
    <w:rsid w:val="007121F1"/>
    <w:rsid w:val="0071467E"/>
    <w:rsid w:val="00721DC1"/>
    <w:rsid w:val="00723EAE"/>
    <w:rsid w:val="00734ED7"/>
    <w:rsid w:val="0073685B"/>
    <w:rsid w:val="0074079C"/>
    <w:rsid w:val="0074110A"/>
    <w:rsid w:val="00746459"/>
    <w:rsid w:val="00747596"/>
    <w:rsid w:val="00747657"/>
    <w:rsid w:val="007524FA"/>
    <w:rsid w:val="00753354"/>
    <w:rsid w:val="007556B9"/>
    <w:rsid w:val="0075593C"/>
    <w:rsid w:val="00761CF1"/>
    <w:rsid w:val="00762DE0"/>
    <w:rsid w:val="007637A7"/>
    <w:rsid w:val="00781128"/>
    <w:rsid w:val="007818E1"/>
    <w:rsid w:val="00784376"/>
    <w:rsid w:val="007853A9"/>
    <w:rsid w:val="007873B1"/>
    <w:rsid w:val="00792428"/>
    <w:rsid w:val="00794146"/>
    <w:rsid w:val="007955EF"/>
    <w:rsid w:val="0079632C"/>
    <w:rsid w:val="007A15A2"/>
    <w:rsid w:val="007A33DF"/>
    <w:rsid w:val="007B3895"/>
    <w:rsid w:val="007D0C5B"/>
    <w:rsid w:val="007D0F85"/>
    <w:rsid w:val="007D1479"/>
    <w:rsid w:val="007D35E4"/>
    <w:rsid w:val="007F30C9"/>
    <w:rsid w:val="007F7CBB"/>
    <w:rsid w:val="007F7D94"/>
    <w:rsid w:val="008010F1"/>
    <w:rsid w:val="008050F2"/>
    <w:rsid w:val="00814755"/>
    <w:rsid w:val="00815E72"/>
    <w:rsid w:val="00816591"/>
    <w:rsid w:val="00817805"/>
    <w:rsid w:val="008201B5"/>
    <w:rsid w:val="00831DA2"/>
    <w:rsid w:val="008325DF"/>
    <w:rsid w:val="0083700A"/>
    <w:rsid w:val="00841238"/>
    <w:rsid w:val="008428AD"/>
    <w:rsid w:val="008478D5"/>
    <w:rsid w:val="00852A66"/>
    <w:rsid w:val="00852FCF"/>
    <w:rsid w:val="00854D3C"/>
    <w:rsid w:val="00855EB3"/>
    <w:rsid w:val="0086294D"/>
    <w:rsid w:val="008658B5"/>
    <w:rsid w:val="00871BF4"/>
    <w:rsid w:val="00872BEE"/>
    <w:rsid w:val="00874581"/>
    <w:rsid w:val="008815E2"/>
    <w:rsid w:val="00885B6D"/>
    <w:rsid w:val="008904B8"/>
    <w:rsid w:val="008927F6"/>
    <w:rsid w:val="008952FE"/>
    <w:rsid w:val="008A245B"/>
    <w:rsid w:val="008A70E0"/>
    <w:rsid w:val="008B01D1"/>
    <w:rsid w:val="008B506D"/>
    <w:rsid w:val="008C1285"/>
    <w:rsid w:val="008D4EB8"/>
    <w:rsid w:val="008D65C0"/>
    <w:rsid w:val="008D7DA0"/>
    <w:rsid w:val="008E1005"/>
    <w:rsid w:val="008F0665"/>
    <w:rsid w:val="008F0B53"/>
    <w:rsid w:val="008F4319"/>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5B1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75A"/>
    <w:rsid w:val="00A459DC"/>
    <w:rsid w:val="00A45A72"/>
    <w:rsid w:val="00A47CAC"/>
    <w:rsid w:val="00A53BBE"/>
    <w:rsid w:val="00A53E61"/>
    <w:rsid w:val="00A608EA"/>
    <w:rsid w:val="00A61A8A"/>
    <w:rsid w:val="00A61B39"/>
    <w:rsid w:val="00A6412D"/>
    <w:rsid w:val="00A64882"/>
    <w:rsid w:val="00A65874"/>
    <w:rsid w:val="00A65905"/>
    <w:rsid w:val="00A6686B"/>
    <w:rsid w:val="00A70F4E"/>
    <w:rsid w:val="00A91269"/>
    <w:rsid w:val="00A949E1"/>
    <w:rsid w:val="00AD141D"/>
    <w:rsid w:val="00AD22B2"/>
    <w:rsid w:val="00AD4D6B"/>
    <w:rsid w:val="00AD681F"/>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22B99"/>
    <w:rsid w:val="00C30F8E"/>
    <w:rsid w:val="00C4220C"/>
    <w:rsid w:val="00C52DAB"/>
    <w:rsid w:val="00C56A9D"/>
    <w:rsid w:val="00C56B9C"/>
    <w:rsid w:val="00C56E7B"/>
    <w:rsid w:val="00C57696"/>
    <w:rsid w:val="00C6137E"/>
    <w:rsid w:val="00C87391"/>
    <w:rsid w:val="00C9024B"/>
    <w:rsid w:val="00C92BD3"/>
    <w:rsid w:val="00C9594B"/>
    <w:rsid w:val="00CB414B"/>
    <w:rsid w:val="00CB7F92"/>
    <w:rsid w:val="00CC6908"/>
    <w:rsid w:val="00CD388B"/>
    <w:rsid w:val="00CD49D2"/>
    <w:rsid w:val="00CE4518"/>
    <w:rsid w:val="00CE47B5"/>
    <w:rsid w:val="00CF1D5C"/>
    <w:rsid w:val="00CF2C23"/>
    <w:rsid w:val="00CF44DD"/>
    <w:rsid w:val="00CF44FC"/>
    <w:rsid w:val="00CF4DFB"/>
    <w:rsid w:val="00CF54D3"/>
    <w:rsid w:val="00D00AA7"/>
    <w:rsid w:val="00D0116B"/>
    <w:rsid w:val="00D05105"/>
    <w:rsid w:val="00D05AE4"/>
    <w:rsid w:val="00D06335"/>
    <w:rsid w:val="00D11A20"/>
    <w:rsid w:val="00D14CD0"/>
    <w:rsid w:val="00D207FB"/>
    <w:rsid w:val="00D21815"/>
    <w:rsid w:val="00D24FB2"/>
    <w:rsid w:val="00D303E4"/>
    <w:rsid w:val="00D318B6"/>
    <w:rsid w:val="00D33624"/>
    <w:rsid w:val="00D34E70"/>
    <w:rsid w:val="00D35F01"/>
    <w:rsid w:val="00D62874"/>
    <w:rsid w:val="00D650C0"/>
    <w:rsid w:val="00D71C25"/>
    <w:rsid w:val="00D73004"/>
    <w:rsid w:val="00D7364D"/>
    <w:rsid w:val="00D83B4F"/>
    <w:rsid w:val="00DA60F0"/>
    <w:rsid w:val="00DA710A"/>
    <w:rsid w:val="00DC15F5"/>
    <w:rsid w:val="00DD0A81"/>
    <w:rsid w:val="00DE79A0"/>
    <w:rsid w:val="00DF0317"/>
    <w:rsid w:val="00DF2059"/>
    <w:rsid w:val="00DF2B98"/>
    <w:rsid w:val="00E07502"/>
    <w:rsid w:val="00E10BC1"/>
    <w:rsid w:val="00E1295C"/>
    <w:rsid w:val="00E139F7"/>
    <w:rsid w:val="00E258A2"/>
    <w:rsid w:val="00E32D9A"/>
    <w:rsid w:val="00E35FA5"/>
    <w:rsid w:val="00E44371"/>
    <w:rsid w:val="00E45068"/>
    <w:rsid w:val="00E50660"/>
    <w:rsid w:val="00E53494"/>
    <w:rsid w:val="00E56749"/>
    <w:rsid w:val="00E61309"/>
    <w:rsid w:val="00E62B08"/>
    <w:rsid w:val="00E647E1"/>
    <w:rsid w:val="00E8103F"/>
    <w:rsid w:val="00E8229B"/>
    <w:rsid w:val="00E829E0"/>
    <w:rsid w:val="00E868D9"/>
    <w:rsid w:val="00E87B96"/>
    <w:rsid w:val="00E91473"/>
    <w:rsid w:val="00E94AEB"/>
    <w:rsid w:val="00EB7898"/>
    <w:rsid w:val="00EC3CCA"/>
    <w:rsid w:val="00EC5BBC"/>
    <w:rsid w:val="00ED0083"/>
    <w:rsid w:val="00ED5211"/>
    <w:rsid w:val="00EE11A7"/>
    <w:rsid w:val="00EE2023"/>
    <w:rsid w:val="00EE3AF2"/>
    <w:rsid w:val="00EF73F3"/>
    <w:rsid w:val="00F012B9"/>
    <w:rsid w:val="00F01CC2"/>
    <w:rsid w:val="00F05FFA"/>
    <w:rsid w:val="00F24521"/>
    <w:rsid w:val="00F25618"/>
    <w:rsid w:val="00F3631E"/>
    <w:rsid w:val="00F41CFF"/>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633D"/>
    <w:rsid w:val="00FE2DCA"/>
    <w:rsid w:val="00FE4B5B"/>
    <w:rsid w:val="00FF1FA5"/>
    <w:rsid w:val="00FF21E4"/>
    <w:rsid w:val="00FF2234"/>
    <w:rsid w:val="00FF4D64"/>
    <w:rsid w:val="4E243B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pPr>
    <w:rPr>
      <w:rFonts w:ascii="微软雅黑" w:hAnsi="微软雅黑" w:eastAsia="微软雅黑" w:cs="微软雅黑"/>
      <w:kern w:val="2"/>
      <w:sz w:val="21"/>
      <w:szCs w:val="21"/>
      <w:lang w:val="en-US" w:eastAsia="zh-CN" w:bidi="ar-SA"/>
    </w:rPr>
  </w:style>
  <w:style w:type="paragraph" w:styleId="2">
    <w:name w:val="heading 1"/>
    <w:basedOn w:val="1"/>
    <w:next w:val="1"/>
    <w:link w:val="23"/>
    <w:qFormat/>
    <w:uiPriority w:val="9"/>
    <w:pPr>
      <w:keepNext/>
      <w:keepLines/>
      <w:spacing w:before="340" w:after="330"/>
      <w:outlineLvl w:val="0"/>
    </w:pPr>
    <w:rPr>
      <w:b/>
      <w:bCs/>
      <w:kern w:val="44"/>
      <w:sz w:val="44"/>
      <w:szCs w:val="44"/>
    </w:rPr>
  </w:style>
  <w:style w:type="paragraph" w:styleId="3">
    <w:name w:val="heading 2"/>
    <w:basedOn w:val="1"/>
    <w:next w:val="1"/>
    <w:link w:val="24"/>
    <w:unhideWhenUsed/>
    <w:qFormat/>
    <w:uiPriority w:val="9"/>
    <w:pPr>
      <w:keepNext/>
      <w:keepLines/>
      <w:spacing w:before="260" w:after="260"/>
      <w:outlineLvl w:val="1"/>
    </w:pPr>
    <w:rPr>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unhideWhenUsed/>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29"/>
    <w:unhideWhenUsed/>
    <w:qFormat/>
    <w:uiPriority w:val="9"/>
    <w:pPr>
      <w:keepNext/>
      <w:keepLines/>
      <w:spacing w:before="280" w:after="290" w:line="376" w:lineRule="auto"/>
      <w:outlineLvl w:val="4"/>
    </w:pPr>
    <w:rPr>
      <w:b/>
      <w:bCs/>
      <w:sz w:val="28"/>
      <w:szCs w:val="28"/>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link w:val="30"/>
    <w:semiHidden/>
    <w:unhideWhenUsed/>
    <w:qFormat/>
    <w:uiPriority w:val="99"/>
  </w:style>
  <w:style w:type="paragraph" w:styleId="8">
    <w:name w:val="toc 3"/>
    <w:basedOn w:val="1"/>
    <w:next w:val="1"/>
    <w:autoRedefine/>
    <w:semiHidden/>
    <w:qFormat/>
    <w:uiPriority w:val="0"/>
    <w:pPr>
      <w:widowControl/>
      <w:tabs>
        <w:tab w:val="left" w:pos="900"/>
        <w:tab w:val="right" w:leader="dot" w:pos="9360"/>
      </w:tabs>
      <w:spacing w:line="360" w:lineRule="exact"/>
      <w:ind w:left="210" w:firstLine="210" w:firstLineChars="100"/>
    </w:pPr>
    <w:rPr>
      <w:rFonts w:ascii="Times New Roman" w:hAnsi="Times New Roman"/>
      <w:szCs w:val="24"/>
    </w:rPr>
  </w:style>
  <w:style w:type="paragraph" w:styleId="9">
    <w:name w:val="Balloon Text"/>
    <w:basedOn w:val="1"/>
    <w:link w:val="32"/>
    <w:semiHidden/>
    <w:unhideWhenUsed/>
    <w:qFormat/>
    <w:uiPriority w:val="99"/>
    <w:rPr>
      <w:sz w:val="18"/>
      <w:szCs w:val="18"/>
    </w:rPr>
  </w:style>
  <w:style w:type="paragraph" w:styleId="10">
    <w:name w:val="footer"/>
    <w:basedOn w:val="1"/>
    <w:link w:val="22"/>
    <w:unhideWhenUsed/>
    <w:qFormat/>
    <w:uiPriority w:val="0"/>
    <w:pPr>
      <w:tabs>
        <w:tab w:val="center" w:pos="4153"/>
        <w:tab w:val="right" w:pos="8306"/>
      </w:tabs>
    </w:pPr>
    <w:rPr>
      <w:sz w:val="18"/>
      <w:szCs w:val="18"/>
    </w:rPr>
  </w:style>
  <w:style w:type="paragraph" w:styleId="11">
    <w:name w:val="header"/>
    <w:basedOn w:val="1"/>
    <w:link w:val="21"/>
    <w:unhideWhenUsed/>
    <w:qFormat/>
    <w:uiPriority w:val="0"/>
    <w:pPr>
      <w:pBdr>
        <w:bottom w:val="single" w:color="auto" w:sz="6" w:space="1"/>
      </w:pBdr>
      <w:tabs>
        <w:tab w:val="center" w:pos="4153"/>
        <w:tab w:val="right" w:pos="8306"/>
      </w:tabs>
      <w:jc w:val="center"/>
    </w:pPr>
    <w:rPr>
      <w:sz w:val="18"/>
      <w:szCs w:val="18"/>
    </w:rPr>
  </w:style>
  <w:style w:type="paragraph" w:styleId="12">
    <w:name w:val="toc 1"/>
    <w:basedOn w:val="1"/>
    <w:next w:val="1"/>
    <w:autoRedefine/>
    <w:qFormat/>
    <w:uiPriority w:val="39"/>
    <w:pPr>
      <w:widowControl/>
      <w:tabs>
        <w:tab w:val="left" w:leader="dot" w:pos="180"/>
        <w:tab w:val="right" w:leader="dot" w:pos="9360"/>
      </w:tabs>
      <w:spacing w:line="360" w:lineRule="exact"/>
    </w:pPr>
    <w:rPr>
      <w:rFonts w:ascii="Times New Roman" w:hAnsi="Times New Roman"/>
      <w:b/>
      <w:bCs/>
      <w:szCs w:val="24"/>
    </w:rPr>
  </w:style>
  <w:style w:type="paragraph" w:styleId="13">
    <w:name w:val="toc 2"/>
    <w:basedOn w:val="1"/>
    <w:next w:val="1"/>
    <w:autoRedefine/>
    <w:qFormat/>
    <w:uiPriority w:val="39"/>
    <w:pPr>
      <w:widowControl/>
      <w:tabs>
        <w:tab w:val="left" w:pos="540"/>
        <w:tab w:val="right" w:leader="dot" w:pos="9360"/>
      </w:tabs>
      <w:spacing w:line="360" w:lineRule="exact"/>
      <w:ind w:left="200"/>
    </w:pPr>
    <w:rPr>
      <w:rFonts w:ascii="Times New Roman" w:hAnsi="Times New Roman"/>
      <w:szCs w:val="24"/>
    </w:rPr>
  </w:style>
  <w:style w:type="paragraph" w:styleId="14">
    <w:name w:val="annotation subject"/>
    <w:basedOn w:val="7"/>
    <w:next w:val="7"/>
    <w:link w:val="31"/>
    <w:semiHidden/>
    <w:unhideWhenUsed/>
    <w:qFormat/>
    <w:uiPriority w:val="99"/>
    <w:rPr>
      <w:b/>
      <w:bCs/>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qFormat/>
    <w:uiPriority w:val="99"/>
    <w:rPr>
      <w:color w:val="0000FF"/>
      <w:u w:val="single"/>
    </w:rPr>
  </w:style>
  <w:style w:type="character" w:styleId="20">
    <w:name w:val="annotation reference"/>
    <w:semiHidden/>
    <w:unhideWhenUsed/>
    <w:qFormat/>
    <w:uiPriority w:val="99"/>
    <w:rPr>
      <w:sz w:val="21"/>
      <w:szCs w:val="21"/>
    </w:rPr>
  </w:style>
  <w:style w:type="character" w:customStyle="1" w:styleId="21">
    <w:name w:val="页眉 字符"/>
    <w:link w:val="11"/>
    <w:qFormat/>
    <w:uiPriority w:val="99"/>
    <w:rPr>
      <w:sz w:val="18"/>
      <w:szCs w:val="18"/>
    </w:rPr>
  </w:style>
  <w:style w:type="character" w:customStyle="1" w:styleId="22">
    <w:name w:val="页脚 字符"/>
    <w:link w:val="10"/>
    <w:uiPriority w:val="99"/>
    <w:rPr>
      <w:sz w:val="18"/>
      <w:szCs w:val="18"/>
    </w:rPr>
  </w:style>
  <w:style w:type="character" w:customStyle="1" w:styleId="23">
    <w:name w:val="标题 1 字符"/>
    <w:link w:val="2"/>
    <w:uiPriority w:val="9"/>
    <w:rPr>
      <w:rFonts w:ascii="微软雅黑" w:hAnsi="微软雅黑" w:eastAsia="微软雅黑" w:cs="微软雅黑"/>
      <w:b/>
      <w:bCs/>
      <w:kern w:val="44"/>
      <w:sz w:val="44"/>
      <w:szCs w:val="44"/>
    </w:rPr>
  </w:style>
  <w:style w:type="character" w:customStyle="1" w:styleId="24">
    <w:name w:val="标题 2 字符"/>
    <w:link w:val="3"/>
    <w:qFormat/>
    <w:uiPriority w:val="9"/>
    <w:rPr>
      <w:rFonts w:ascii="微软雅黑" w:hAnsi="微软雅黑" w:eastAsia="微软雅黑" w:cs="微软雅黑"/>
      <w:b/>
      <w:bCs/>
      <w:kern w:val="2"/>
      <w:sz w:val="32"/>
      <w:szCs w:val="32"/>
    </w:rPr>
  </w:style>
  <w:style w:type="paragraph" w:styleId="25">
    <w:name w:val="List Paragraph"/>
    <w:basedOn w:val="1"/>
    <w:qFormat/>
    <w:uiPriority w:val="34"/>
    <w:pPr>
      <w:ind w:firstLine="420" w:firstLineChars="200"/>
    </w:pPr>
  </w:style>
  <w:style w:type="character" w:customStyle="1" w:styleId="26">
    <w:name w:val="标题 3 字符"/>
    <w:link w:val="4"/>
    <w:qFormat/>
    <w:uiPriority w:val="9"/>
    <w:rPr>
      <w:b/>
      <w:bCs/>
      <w:sz w:val="32"/>
      <w:szCs w:val="32"/>
    </w:rPr>
  </w:style>
  <w:style w:type="character" w:customStyle="1" w:styleId="27">
    <w:name w:val="标题 4 字符"/>
    <w:link w:val="5"/>
    <w:qFormat/>
    <w:uiPriority w:val="9"/>
    <w:rPr>
      <w:rFonts w:ascii="Cambria" w:hAnsi="Cambria" w:eastAsia="宋体" w:cs="Times New Roman"/>
      <w:b/>
      <w:bCs/>
      <w:sz w:val="28"/>
      <w:szCs w:val="28"/>
    </w:rPr>
  </w:style>
  <w:style w:type="paragraph" w:customStyle="1" w:styleId="28">
    <w:name w:val="Default"/>
    <w:qFormat/>
    <w:uiPriority w:val="99"/>
    <w:pPr>
      <w:widowControl w:val="0"/>
      <w:autoSpaceDE w:val="0"/>
      <w:autoSpaceDN w:val="0"/>
      <w:adjustRightInd w:val="0"/>
      <w:jc w:val="center"/>
    </w:pPr>
    <w:rPr>
      <w:rFonts w:ascii="宋体" w:hAnsi="Calibri" w:eastAsia="宋体" w:cs="宋体"/>
      <w:color w:val="000000"/>
      <w:sz w:val="24"/>
      <w:szCs w:val="24"/>
      <w:lang w:val="en-US" w:eastAsia="zh-CN" w:bidi="ar-SA"/>
    </w:rPr>
  </w:style>
  <w:style w:type="character" w:customStyle="1" w:styleId="29">
    <w:name w:val="标题 5 字符"/>
    <w:link w:val="6"/>
    <w:qFormat/>
    <w:uiPriority w:val="9"/>
    <w:rPr>
      <w:b/>
      <w:bCs/>
      <w:sz w:val="28"/>
      <w:szCs w:val="28"/>
    </w:rPr>
  </w:style>
  <w:style w:type="character" w:customStyle="1" w:styleId="30">
    <w:name w:val="批注文字 字符"/>
    <w:basedOn w:val="17"/>
    <w:link w:val="7"/>
    <w:semiHidden/>
    <w:qFormat/>
    <w:uiPriority w:val="99"/>
  </w:style>
  <w:style w:type="character" w:customStyle="1" w:styleId="31">
    <w:name w:val="批注主题 字符"/>
    <w:link w:val="14"/>
    <w:semiHidden/>
    <w:qFormat/>
    <w:uiPriority w:val="99"/>
    <w:rPr>
      <w:b/>
      <w:bCs/>
    </w:rPr>
  </w:style>
  <w:style w:type="character" w:customStyle="1" w:styleId="32">
    <w:name w:val="批注框文本 字符"/>
    <w:link w:val="9"/>
    <w:semiHidden/>
    <w:qFormat/>
    <w:uiPriority w:val="99"/>
    <w:rPr>
      <w:sz w:val="18"/>
      <w:szCs w:val="18"/>
    </w:rPr>
  </w:style>
  <w:style w:type="paragraph" w:customStyle="1" w:styleId="33">
    <w:name w:val="毕业论文 正文"/>
    <w:basedOn w:val="1"/>
    <w:qFormat/>
    <w:uiPriority w:val="0"/>
    <w:pPr>
      <w:spacing w:line="400" w:lineRule="exact"/>
      <w:ind w:firstLine="560" w:firstLineChars="200"/>
    </w:pPr>
    <w:rPr>
      <w:rFonts w:ascii="Times New Roman" w:hAnsi="Times New Roman" w:cs="宋体"/>
      <w:sz w:val="24"/>
      <w:szCs w:val="20"/>
    </w:rPr>
  </w:style>
  <w:style w:type="paragraph" w:customStyle="1" w:styleId="34">
    <w:name w:val="毕业论文图表下标题"/>
    <w:basedOn w:val="1"/>
    <w:qFormat/>
    <w:uiPriority w:val="0"/>
    <w:pPr>
      <w:ind w:firstLine="452" w:firstLineChars="250"/>
      <w:jc w:val="center"/>
    </w:pPr>
    <w:rPr>
      <w:rFonts w:ascii="宋体" w:hAnsi="宋体" w:cs="宋体"/>
      <w:b/>
      <w:bCs/>
      <w:sz w:val="18"/>
      <w:szCs w:val="20"/>
    </w:rPr>
  </w:style>
  <w:style w:type="paragraph" w:customStyle="1" w:styleId="35">
    <w:name w:val="毕业论文二级标题"/>
    <w:basedOn w:val="3"/>
    <w:qFormat/>
    <w:uiPriority w:val="0"/>
    <w:pPr>
      <w:spacing w:before="240" w:after="240" w:line="400" w:lineRule="exact"/>
    </w:pPr>
    <w:rPr>
      <w:rFonts w:ascii="Times New Roman" w:hAnsi="Times New Roman" w:eastAsia="黑体" w:cs="宋体"/>
      <w:sz w:val="28"/>
      <w:szCs w:val="20"/>
    </w:rPr>
  </w:style>
  <w:style w:type="paragraph" w:customStyle="1" w:styleId="36">
    <w:name w:val="表格正文"/>
    <w:qFormat/>
    <w:uiPriority w:val="0"/>
    <w:pPr>
      <w:jc w:val="center"/>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12.bmp"/><Relationship Id="rId18" Type="http://schemas.openxmlformats.org/officeDocument/2006/relationships/image" Target="media/image11.bmp"/><Relationship Id="rId17" Type="http://schemas.openxmlformats.org/officeDocument/2006/relationships/image" Target="media/image10.png"/><Relationship Id="rId16" Type="http://schemas.openxmlformats.org/officeDocument/2006/relationships/image" Target="media/image9.wmf"/><Relationship Id="rId15" Type="http://schemas.openxmlformats.org/officeDocument/2006/relationships/image" Target="media/image8.bmp"/><Relationship Id="rId14" Type="http://schemas.openxmlformats.org/officeDocument/2006/relationships/image" Target="media/image7.bmp"/><Relationship Id="rId13" Type="http://schemas.openxmlformats.org/officeDocument/2006/relationships/image" Target="media/image6.bmp"/><Relationship Id="rId12" Type="http://schemas.openxmlformats.org/officeDocument/2006/relationships/image" Target="media/image5.bmp"/><Relationship Id="rId11" Type="http://schemas.openxmlformats.org/officeDocument/2006/relationships/image" Target="media/image4.jpeg"/><Relationship Id="rId10" Type="http://schemas.openxmlformats.org/officeDocument/2006/relationships/image" Target="media/image3.wmf"/><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ZS\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D2400-DB89-4722-AA15-1CDA2B25710E}">
  <ds:schemaRefs/>
</ds:datastoreItem>
</file>

<file path=docProps/app.xml><?xml version="1.0" encoding="utf-8"?>
<Properties xmlns="http://schemas.openxmlformats.org/officeDocument/2006/extended-properties" xmlns:vt="http://schemas.openxmlformats.org/officeDocument/2006/docPropsVTypes">
  <Template>tmp2.dotx</Template>
  <Pages>14</Pages>
  <Words>2601</Words>
  <Characters>3000</Characters>
  <Lines>27</Lines>
  <Paragraphs>7</Paragraphs>
  <TotalTime>0</TotalTime>
  <ScaleCrop>false</ScaleCrop>
  <LinksUpToDate>false</LinksUpToDate>
  <CharactersWithSpaces>3963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2024-12-29T11:52:00Z</dcterms:created>
  <dc:creator>那些年的往事！！！</dc:creator>
  <cp:lastModifiedBy>那些年的往事！！！</cp:lastModifiedBy>
  <dcterms:modified xsi:type="dcterms:W3CDTF">2024-12-29T11:53:01Z</dcterms:modified>
  <dc:title>平面图_t7(2)室外噪声分析报告</dc:title>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B426DEC0454F4AE294CC7A2E82FF98FA_11</vt:lpwstr>
  </property>
  <property fmtid="{D5CDD505-2E9C-101B-9397-08002B2CF9AE}" pid="3" name="KSOTemplateDocerSaveRecord">
    <vt:lpwstr>eyJoZGlkIjoiODZkNjFmZTJjNjQ0Y2Q4NGMyMzYxYzhhYjJkNWQyNTgiLCJ1c2VySWQiOiI1MjU4MTI0MDQifQ==</vt:lpwstr>
  </property>
  <property fmtid="{D5CDD505-2E9C-101B-9397-08002B2CF9AE}" pid="4" name="KSOProductBuildVer">
    <vt:lpwstr>2052-12.1.0.19770</vt:lpwstr>
  </property>
</Properties>
</file>