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770F0">
      <w:pPr>
        <w:pStyle w:val="2"/>
        <w:jc w:val="center"/>
      </w:pPr>
      <w:r>
        <w:t>沈阳高压开关厂工程地质勘察报告</w:t>
      </w:r>
    </w:p>
    <w:p w14:paraId="3052B466">
      <w:pPr>
        <w:pStyle w:val="3"/>
      </w:pPr>
      <w:r>
        <w:t>一、工程概况</w:t>
      </w:r>
    </w:p>
    <w:p w14:paraId="239E15FB">
      <w:pPr>
        <w:pStyle w:val="16"/>
        <w:numPr>
          <w:ilvl w:val="0"/>
          <w:numId w:val="1"/>
        </w:numPr>
      </w:pPr>
      <w:r>
        <w:rPr>
          <w:b/>
          <w:bCs/>
        </w:rPr>
        <w:t>项目名称</w:t>
      </w:r>
      <w:r>
        <w:t>：沈阳高压开关厂改建项目</w:t>
      </w:r>
    </w:p>
    <w:p w14:paraId="45C2EA6D">
      <w:pPr>
        <w:pStyle w:val="16"/>
        <w:numPr>
          <w:ilvl w:val="0"/>
          <w:numId w:val="1"/>
        </w:numPr>
      </w:pPr>
      <w:r>
        <w:rPr>
          <w:b/>
          <w:bCs/>
        </w:rPr>
        <w:t>建设单位</w:t>
      </w:r>
      <w:r>
        <w:t>：</w:t>
      </w:r>
      <w:r>
        <w:rPr>
          <w:rFonts w:hint="eastAsia"/>
          <w:lang w:val="en-US" w:eastAsia="zh-CN"/>
        </w:rPr>
        <w:t>沈阳建筑大学</w:t>
      </w:r>
    </w:p>
    <w:p w14:paraId="591D1CB9">
      <w:pPr>
        <w:pStyle w:val="16"/>
        <w:numPr>
          <w:ilvl w:val="0"/>
          <w:numId w:val="1"/>
        </w:numPr>
      </w:pPr>
      <w:r>
        <w:rPr>
          <w:b/>
          <w:bCs/>
        </w:rPr>
        <w:t>工程地点</w:t>
      </w:r>
      <w:r>
        <w:t>：沈阳市</w:t>
      </w:r>
      <w:r>
        <w:rPr>
          <w:rFonts w:hint="eastAsia"/>
        </w:rPr>
        <w:t>高压开关厂 12号厂房</w:t>
      </w:r>
    </w:p>
    <w:p w14:paraId="75B4EFB9">
      <w:pPr>
        <w:pStyle w:val="16"/>
        <w:numPr>
          <w:ilvl w:val="0"/>
          <w:numId w:val="1"/>
        </w:numPr>
      </w:pPr>
      <w:r>
        <w:rPr>
          <w:b/>
          <w:bCs/>
        </w:rPr>
        <w:t>工程规模</w:t>
      </w:r>
      <w:r>
        <w:t>：本次改建项目涉及厂房及配套设施建设，总建筑面积预计</w:t>
      </w:r>
      <w:r>
        <w:rPr>
          <w:rFonts w:hint="eastAsia"/>
          <w:lang w:val="en-US" w:eastAsia="zh-CN"/>
        </w:rPr>
        <w:t>4130</w:t>
      </w:r>
      <w:r>
        <w:t>平方米。其中，</w:t>
      </w:r>
      <w:r>
        <w:rPr>
          <w:rFonts w:hint="eastAsia"/>
          <w:lang w:val="en-US" w:eastAsia="zh-CN"/>
        </w:rPr>
        <w:t>改</w:t>
      </w:r>
      <w:r>
        <w:t xml:space="preserve">建主要厂房为 </w:t>
      </w:r>
      <w:r>
        <w:rPr>
          <w:rFonts w:hint="eastAsia"/>
          <w:lang w:val="en-US" w:eastAsia="zh-CN"/>
        </w:rPr>
        <w:t>2</w:t>
      </w:r>
      <w:r>
        <w:t>层</w:t>
      </w:r>
      <w:r>
        <w:rPr>
          <w:rFonts w:hint="eastAsia"/>
          <w:lang w:val="en-US" w:eastAsia="zh-CN"/>
        </w:rPr>
        <w:t>混合</w:t>
      </w:r>
      <w:r>
        <w:t>结构。</w:t>
      </w:r>
    </w:p>
    <w:p w14:paraId="06AE8681">
      <w:pPr>
        <w:pStyle w:val="16"/>
        <w:numPr>
          <w:ilvl w:val="0"/>
          <w:numId w:val="1"/>
        </w:numPr>
      </w:pPr>
      <w:r>
        <w:rPr>
          <w:b/>
          <w:bCs/>
        </w:rPr>
        <w:t>勘察目的</w:t>
      </w:r>
    </w:p>
    <w:p w14:paraId="5B3D116D">
      <w:pPr>
        <w:pStyle w:val="16"/>
        <w:numPr>
          <w:ilvl w:val="1"/>
          <w:numId w:val="2"/>
        </w:numPr>
      </w:pPr>
      <w:r>
        <w:t>查明场地内的地层结构、岩土性质、分布规律及工程特性，为基础设计提供可靠的地质依据。</w:t>
      </w:r>
    </w:p>
    <w:p w14:paraId="40D8705E">
      <w:pPr>
        <w:pStyle w:val="16"/>
        <w:numPr>
          <w:ilvl w:val="1"/>
          <w:numId w:val="2"/>
        </w:numPr>
      </w:pPr>
      <w:r>
        <w:t>对场地的稳定性和适宜性进行评价，分析可能存在的不良地质作用，并提出相应的防治措施建议。</w:t>
      </w:r>
    </w:p>
    <w:p w14:paraId="26796553">
      <w:pPr>
        <w:pStyle w:val="16"/>
        <w:numPr>
          <w:ilvl w:val="1"/>
          <w:numId w:val="2"/>
        </w:numPr>
      </w:pPr>
      <w:r>
        <w:t>测定地下水水位，分析地下水对工程建设的影响，提供地下水相关参数，为基础抗浮设计和施工降水提供资料。</w:t>
      </w:r>
    </w:p>
    <w:p w14:paraId="64B590A6">
      <w:pPr>
        <w:pStyle w:val="16"/>
        <w:numPr>
          <w:ilvl w:val="1"/>
          <w:numId w:val="2"/>
        </w:numPr>
      </w:pPr>
      <w:r>
        <w:t>对地基基础方案进行分析评价，推荐合理的基础类型和施工方法，提供地基承载力及变形计算参数。</w:t>
      </w:r>
    </w:p>
    <w:p w14:paraId="5B076333">
      <w:pPr>
        <w:pStyle w:val="3"/>
      </w:pPr>
      <w:r>
        <w:t>二、勘察依据及工作方法</w:t>
      </w:r>
    </w:p>
    <w:p w14:paraId="140D0565">
      <w:pPr>
        <w:pStyle w:val="16"/>
        <w:numPr>
          <w:ilvl w:val="0"/>
          <w:numId w:val="3"/>
        </w:numPr>
      </w:pPr>
      <w:r>
        <w:rPr>
          <w:b/>
          <w:bCs/>
        </w:rPr>
        <w:t>勘察依据</w:t>
      </w:r>
    </w:p>
    <w:p w14:paraId="472660A5">
      <w:pPr>
        <w:pStyle w:val="16"/>
        <w:numPr>
          <w:ilvl w:val="1"/>
          <w:numId w:val="2"/>
        </w:numPr>
      </w:pPr>
      <w:r>
        <w:t>《岩土工程勘察规范》（GB 50021 - 2001）（2009 年版）</w:t>
      </w:r>
    </w:p>
    <w:p w14:paraId="375161CA">
      <w:pPr>
        <w:pStyle w:val="16"/>
        <w:numPr>
          <w:ilvl w:val="1"/>
          <w:numId w:val="2"/>
        </w:numPr>
      </w:pPr>
      <w:r>
        <w:t>《建筑地基基础设计规范》（GB 50007 - 2011）</w:t>
      </w:r>
    </w:p>
    <w:p w14:paraId="6BB05D60">
      <w:pPr>
        <w:pStyle w:val="16"/>
        <w:numPr>
          <w:ilvl w:val="1"/>
          <w:numId w:val="2"/>
        </w:numPr>
      </w:pPr>
      <w:r>
        <w:t>《建筑抗震设计规范》（GB 50011 - 2010）（2016 年版）</w:t>
      </w:r>
    </w:p>
    <w:p w14:paraId="27E5DFED">
      <w:pPr>
        <w:pStyle w:val="16"/>
        <w:numPr>
          <w:ilvl w:val="1"/>
          <w:numId w:val="2"/>
        </w:numPr>
      </w:pPr>
      <w:r>
        <w:t>《土工试验方法标准》（GB/T 50123 - 1999）</w:t>
      </w:r>
    </w:p>
    <w:p w14:paraId="5C8BC219">
      <w:pPr>
        <w:pStyle w:val="16"/>
        <w:numPr>
          <w:ilvl w:val="1"/>
          <w:numId w:val="2"/>
        </w:numPr>
      </w:pPr>
      <w:r>
        <w:t>建设单位提供的相关设计资料及勘察任务委托书</w:t>
      </w:r>
    </w:p>
    <w:p w14:paraId="673B5D30">
      <w:pPr>
        <w:pStyle w:val="16"/>
        <w:numPr>
          <w:ilvl w:val="0"/>
          <w:numId w:val="4"/>
        </w:numPr>
      </w:pPr>
      <w:r>
        <w:rPr>
          <w:b/>
          <w:bCs/>
        </w:rPr>
        <w:t>勘察工作方法</w:t>
      </w:r>
    </w:p>
    <w:p w14:paraId="5F44788F">
      <w:pPr>
        <w:pStyle w:val="16"/>
        <w:numPr>
          <w:ilvl w:val="1"/>
          <w:numId w:val="2"/>
        </w:numPr>
      </w:pPr>
      <w:r>
        <w:rPr>
          <w:b/>
          <w:bCs/>
        </w:rPr>
        <w:t>勘探点布置</w:t>
      </w:r>
      <w:r>
        <w:t>：根据建筑平面布置及场地地形条件，共布置勘探点</w:t>
      </w:r>
      <w:r>
        <w:rPr>
          <w:rFonts w:hint="eastAsia"/>
          <w:lang w:val="en-US" w:eastAsia="zh-CN"/>
        </w:rPr>
        <w:t>10</w:t>
      </w:r>
      <w:r>
        <w:t xml:space="preserve"> 个，其中控制性勘探点</w:t>
      </w:r>
      <w:r>
        <w:rPr>
          <w:rFonts w:hint="eastAsia"/>
          <w:lang w:val="en-US" w:eastAsia="zh-CN"/>
        </w:rPr>
        <w:t>7</w:t>
      </w:r>
      <w:r>
        <w:t xml:space="preserve">个，一般性勘探点 </w:t>
      </w:r>
      <w:r>
        <w:rPr>
          <w:rFonts w:hint="eastAsia"/>
          <w:lang w:val="en-US" w:eastAsia="zh-CN"/>
        </w:rPr>
        <w:t>3</w:t>
      </w:r>
      <w:r>
        <w:t>个。勘探点间距控制在</w:t>
      </w:r>
      <w:r>
        <w:rPr>
          <w:rFonts w:hint="eastAsia"/>
          <w:lang w:val="en-US" w:eastAsia="zh-CN"/>
        </w:rPr>
        <w:t>10</w:t>
      </w:r>
      <w:r>
        <w:t>米左右，以满足查明场地地层结构和岩土工程性质的要求。</w:t>
      </w:r>
    </w:p>
    <w:p w14:paraId="08E4D271">
      <w:pPr>
        <w:pStyle w:val="16"/>
        <w:numPr>
          <w:ilvl w:val="1"/>
          <w:numId w:val="2"/>
        </w:numPr>
      </w:pPr>
      <w:r>
        <w:rPr>
          <w:b/>
          <w:bCs/>
        </w:rPr>
        <w:t>钻探</w:t>
      </w:r>
      <w:r>
        <w:t>：采用 XY - 1 型工程钻机进行钻探，全断面取芯钻进，确保岩芯采取率满足规范要求。钻孔孔径为</w:t>
      </w:r>
      <w:r>
        <w:rPr>
          <w:rFonts w:hint="eastAsia"/>
          <w:lang w:val="en-US" w:eastAsia="zh-CN"/>
        </w:rPr>
        <w:t>10000</w:t>
      </w:r>
      <w:r>
        <w:t>mm，钻孔垂直度偏差不超过 1%。</w:t>
      </w:r>
    </w:p>
    <w:p w14:paraId="58AF191E">
      <w:pPr>
        <w:pStyle w:val="16"/>
        <w:numPr>
          <w:ilvl w:val="1"/>
          <w:numId w:val="2"/>
        </w:numPr>
      </w:pPr>
      <w:r>
        <w:rPr>
          <w:b/>
          <w:bCs/>
        </w:rPr>
        <w:t>原位测试</w:t>
      </w:r>
    </w:p>
    <w:p w14:paraId="5598F70C">
      <w:pPr>
        <w:pStyle w:val="16"/>
        <w:numPr>
          <w:ilvl w:val="2"/>
          <w:numId w:val="2"/>
        </w:numPr>
      </w:pPr>
      <w:r>
        <w:t>标准贯入试验：在粉土、砂土等土层中进行标准贯入试验，每 2 米进行一次，以测定土的密实度和力学性质。</w:t>
      </w:r>
    </w:p>
    <w:p w14:paraId="69BBC5E2">
      <w:pPr>
        <w:pStyle w:val="16"/>
        <w:numPr>
          <w:ilvl w:val="2"/>
          <w:numId w:val="2"/>
        </w:numPr>
      </w:pPr>
      <w:r>
        <w:t>重型圆锥动力触探试验：在碎石土等土层中进行重型圆锥动力触探试验，连续贯入，记录每贯入 10cm 的锤击数，用以评价土的力学性质和密实程度。</w:t>
      </w:r>
    </w:p>
    <w:p w14:paraId="6E1443C9">
      <w:pPr>
        <w:pStyle w:val="16"/>
        <w:numPr>
          <w:ilvl w:val="1"/>
          <w:numId w:val="2"/>
        </w:numPr>
      </w:pPr>
      <w:r>
        <w:rPr>
          <w:b/>
          <w:bCs/>
        </w:rPr>
        <w:t>室内土工试验</w:t>
      </w:r>
      <w:r>
        <w:t>：采取代表性土样进行室内土工试验，包括物理性质试验（如含水率、密度、比重、液塑限等）、力学性质试验（如压缩试验、直剪试验等）。对岩石样品进行抗压强度试验等。</w:t>
      </w:r>
    </w:p>
    <w:p w14:paraId="1977E9FC">
      <w:pPr>
        <w:pStyle w:val="3"/>
      </w:pPr>
      <w:r>
        <w:t>三、场地岩土工程条件</w:t>
      </w:r>
    </w:p>
    <w:p w14:paraId="6DA30F27">
      <w:pPr>
        <w:pStyle w:val="16"/>
        <w:numPr>
          <w:ilvl w:val="0"/>
          <w:numId w:val="5"/>
        </w:numPr>
      </w:pPr>
      <w:r>
        <w:rPr>
          <w:b/>
          <w:bCs/>
        </w:rPr>
        <w:t>地形地貌</w:t>
      </w:r>
      <w:r>
        <w:t xml:space="preserve">：场地原始地貌类型为 </w:t>
      </w:r>
      <w:r>
        <w:rPr>
          <w:rFonts w:hint="eastAsia"/>
          <w:lang w:val="en-US" w:eastAsia="zh-CN"/>
        </w:rPr>
        <w:t>平原</w:t>
      </w:r>
      <w:r>
        <w:t>，经人工平整后，地势较为平坦，地面标高一般在</w:t>
      </w:r>
      <w:r>
        <w:rPr>
          <w:rFonts w:hint="eastAsia"/>
          <w:lang w:val="en-US" w:eastAsia="zh-CN"/>
        </w:rPr>
        <w:t>0.00</w:t>
      </w:r>
      <w:r>
        <w:t xml:space="preserve">m - </w:t>
      </w:r>
      <w:r>
        <w:rPr>
          <w:rFonts w:hint="eastAsia"/>
          <w:lang w:val="en-US" w:eastAsia="zh-CN"/>
        </w:rPr>
        <w:t>0.1</w:t>
      </w:r>
      <w:r>
        <w:t xml:space="preserve"> m 之间。</w:t>
      </w:r>
    </w:p>
    <w:p w14:paraId="70A2202C">
      <w:pPr>
        <w:pStyle w:val="16"/>
        <w:numPr>
          <w:ilvl w:val="0"/>
          <w:numId w:val="5"/>
        </w:numPr>
      </w:pPr>
      <w:r>
        <w:rPr>
          <w:b/>
          <w:bCs/>
        </w:rPr>
        <w:t>地层岩性</w:t>
      </w:r>
      <w:r>
        <w:t>：根据钻探揭露，场地内主要地层自上而下依次为：</w:t>
      </w:r>
    </w:p>
    <w:p w14:paraId="5A04EF1F">
      <w:pPr>
        <w:pStyle w:val="16"/>
        <w:numPr>
          <w:ilvl w:val="1"/>
          <w:numId w:val="2"/>
        </w:numPr>
      </w:pPr>
      <w:r>
        <w:rPr>
          <w:b/>
          <w:bCs/>
        </w:rPr>
        <w:t>杂填土（Q4ml）</w:t>
      </w:r>
      <w:r>
        <w:t>：杂色，主要由建筑垃圾、生活垃圾及粘性土组成，结构松散，厚度在 0.5m - 2.0m 之间，平均厚度 1.2m。该层土均匀性差，工程性质不良。</w:t>
      </w:r>
    </w:p>
    <w:p w14:paraId="05857C28">
      <w:pPr>
        <w:pStyle w:val="16"/>
        <w:numPr>
          <w:ilvl w:val="1"/>
          <w:numId w:val="2"/>
        </w:numPr>
      </w:pPr>
      <w:r>
        <w:rPr>
          <w:b/>
          <w:bCs/>
        </w:rPr>
        <w:t>粉质粘土（Q4al + pl）</w:t>
      </w:r>
      <w:r>
        <w:t>：黄褐色，可塑状态，稍有光泽，干强度中等，韧性中等。该层分布广泛，厚度在 2.0m - 4.5m 之间，平均厚度 3.0m。</w:t>
      </w:r>
    </w:p>
    <w:p w14:paraId="1D13106B">
      <w:pPr>
        <w:pStyle w:val="16"/>
        <w:numPr>
          <w:ilvl w:val="1"/>
          <w:numId w:val="2"/>
        </w:numPr>
      </w:pPr>
      <w:r>
        <w:rPr>
          <w:b/>
          <w:bCs/>
        </w:rPr>
        <w:t>粉土（Q4al + pl）</w:t>
      </w:r>
      <w:r>
        <w:t>：浅黄色，稍湿，中密状态，摇震反应中等，无光泽，干强度低，韧性低。层厚在 1.5m - 3.5m 之间，平均厚度 2.5m。</w:t>
      </w:r>
    </w:p>
    <w:p w14:paraId="0BB5AB29">
      <w:pPr>
        <w:pStyle w:val="16"/>
        <w:numPr>
          <w:ilvl w:val="1"/>
          <w:numId w:val="2"/>
        </w:numPr>
      </w:pPr>
      <w:r>
        <w:rPr>
          <w:b/>
          <w:bCs/>
        </w:rPr>
        <w:t>中砂（Q4al + pl）</w:t>
      </w:r>
      <w:r>
        <w:t>：灰白色，主要由石英、长石等矿物组成，颗粒级配良好，中密 - 密实状态。该层厚度较大，本次勘察未揭穿。</w:t>
      </w:r>
    </w:p>
    <w:p w14:paraId="381D5F32">
      <w:pPr>
        <w:pStyle w:val="16"/>
        <w:numPr>
          <w:numId w:val="0"/>
        </w:numPr>
        <w:ind w:leftChars="0" w:firstLine="660" w:firstLineChars="300"/>
      </w:pPr>
      <w:r>
        <w:rPr>
          <w:b/>
          <w:bCs/>
        </w:rPr>
        <w:t>强风化花岗岩（γ）</w:t>
      </w:r>
      <w:r>
        <w:t>：灰白色，岩石风化强烈，组织结构大部分破坏，矿物成分显著变化，岩芯呈碎块状、砂土状。</w:t>
      </w:r>
    </w:p>
    <w:p w14:paraId="285AD4E0">
      <w:pPr>
        <w:pStyle w:val="16"/>
        <w:numPr>
          <w:ilvl w:val="1"/>
          <w:numId w:val="2"/>
        </w:numPr>
      </w:pPr>
      <w:r>
        <w:rPr>
          <w:b/>
          <w:bCs/>
        </w:rPr>
        <w:t>腐蚀性</w:t>
      </w:r>
      <w:r>
        <w:t>：采取地下水样进行水质分析，结果表明，地下水对混凝土结构具微腐蚀性，对钢筋混凝土结构中的钢筋在长期浸水条件下具微腐蚀性，在干湿交替条件下具弱腐蚀性。</w:t>
      </w:r>
    </w:p>
    <w:p w14:paraId="4B058173">
      <w:pPr>
        <w:pStyle w:val="3"/>
      </w:pPr>
      <w:r>
        <w:t>四、场地稳定性及适宜性评价</w:t>
      </w:r>
    </w:p>
    <w:p w14:paraId="28F99D28">
      <w:pPr>
        <w:pStyle w:val="16"/>
        <w:numPr>
          <w:ilvl w:val="0"/>
          <w:numId w:val="6"/>
        </w:numPr>
      </w:pPr>
      <w:r>
        <w:rPr>
          <w:b/>
          <w:bCs/>
        </w:rPr>
        <w:t>地震效应</w:t>
      </w:r>
      <w:r>
        <w:t>：根据《中国地震动参数区划图》（GB 18306 - 2015），场地所在地区的地震动峰值加速度为 0.10g，地震基本烈度为 Ⅶ 度。场地内不存在发震断裂等活动性地质构造，场地稳定性较好。</w:t>
      </w:r>
    </w:p>
    <w:p w14:paraId="2BEB44EE">
      <w:pPr>
        <w:pStyle w:val="16"/>
        <w:numPr>
          <w:ilvl w:val="0"/>
          <w:numId w:val="6"/>
        </w:numPr>
      </w:pPr>
      <w:r>
        <w:rPr>
          <w:b/>
          <w:bCs/>
        </w:rPr>
        <w:t>不良地质作用</w:t>
      </w:r>
      <w:r>
        <w:t>：勘察期间，未发现滑坡、泥石流、崩塌等不良地质作用。场地内存在的杂填土分布不均，可能对基础施工造成一定影响，需进行适当处理。</w:t>
      </w:r>
    </w:p>
    <w:p w14:paraId="72B9169B">
      <w:pPr>
        <w:pStyle w:val="16"/>
        <w:numPr>
          <w:ilvl w:val="0"/>
          <w:numId w:val="6"/>
        </w:numPr>
      </w:pPr>
      <w:r>
        <w:rPr>
          <w:b/>
          <w:bCs/>
        </w:rPr>
        <w:t>场地适宜性</w:t>
      </w:r>
      <w:r>
        <w:t>：综合分析场地的地形地貌、地层岩性、地下水及地震效应等因素，场地整体稳定性较好，适宜进行本项目的建设，但需对杂填土等不良土层进行处理，以满足工程建设要求。</w:t>
      </w:r>
    </w:p>
    <w:p w14:paraId="34177F55">
      <w:pPr>
        <w:pStyle w:val="3"/>
      </w:pPr>
      <w:r>
        <w:t>五、地基基础方案建议</w:t>
      </w:r>
    </w:p>
    <w:p w14:paraId="1C562580">
      <w:pPr>
        <w:pStyle w:val="16"/>
        <w:numPr>
          <w:ilvl w:val="0"/>
          <w:numId w:val="7"/>
        </w:numPr>
      </w:pPr>
      <w:r>
        <w:rPr>
          <w:b/>
          <w:bCs/>
        </w:rPr>
        <w:t>天然地基</w:t>
      </w:r>
      <w:r>
        <w:t>：对于层数较低、荷载较小的附属建筑物，若粉质粘土层和粉土层厚度较大、分布稳定，且地基承载力和变形能满足设计要求时，可考虑采用天然地基，基础形式可选用独立基础或条形基础。</w:t>
      </w:r>
    </w:p>
    <w:p w14:paraId="3CA9BC59">
      <w:pPr>
        <w:pStyle w:val="16"/>
        <w:numPr>
          <w:ilvl w:val="0"/>
          <w:numId w:val="7"/>
        </w:numPr>
      </w:pPr>
      <w:r>
        <w:rPr>
          <w:b/>
          <w:bCs/>
        </w:rPr>
        <w:t>桩基础</w:t>
      </w:r>
      <w:r>
        <w:t>：对于主要厂房等荷载较大的建筑物，建议采用桩基础。根据场地地层条件，可选用混凝土预制桩或钻孔灌注桩。桩端持力层可选择中砂层或强风化花岗岩层，桩长可根据具体设计要求通过计算确定。</w:t>
      </w:r>
    </w:p>
    <w:p w14:paraId="4395A06D">
      <w:pPr>
        <w:pStyle w:val="16"/>
        <w:numPr>
          <w:ilvl w:val="0"/>
          <w:numId w:val="7"/>
        </w:numPr>
      </w:pPr>
      <w:r>
        <w:rPr>
          <w:b/>
          <w:bCs/>
        </w:rPr>
        <w:t>地基处理</w:t>
      </w:r>
      <w:r>
        <w:t>：对于杂填土地层，可采用换填垫层法进行处理，将杂填土挖除，换填砂石、灰土等材料，分层夯实，以提高地基承载力，减小地基变形。</w:t>
      </w:r>
    </w:p>
    <w:p w14:paraId="02502C64">
      <w:pPr>
        <w:pStyle w:val="3"/>
      </w:pPr>
      <w:r>
        <w:t>六、结论与建议</w:t>
      </w:r>
    </w:p>
    <w:p w14:paraId="324CEDCC">
      <w:pPr>
        <w:pStyle w:val="16"/>
        <w:numPr>
          <w:ilvl w:val="0"/>
          <w:numId w:val="8"/>
        </w:numPr>
      </w:pPr>
      <w:r>
        <w:t>场地内主要地层为杂填土、粉质粘土、粉土、中砂及强风化花岗岩，岩土工程性质差异较大，在基础设计和施工时应充分考虑。</w:t>
      </w:r>
    </w:p>
    <w:p w14:paraId="117CC429">
      <w:pPr>
        <w:pStyle w:val="16"/>
        <w:numPr>
          <w:ilvl w:val="0"/>
          <w:numId w:val="8"/>
        </w:numPr>
      </w:pPr>
      <w:r>
        <w:t>场地地下水对混凝土结构具微腐蚀性，对钢筋混凝土结构中的钢筋在干湿交替条件下具弱腐蚀性，在基础施工和使用过程中应采取相应的防腐措施。</w:t>
      </w:r>
    </w:p>
    <w:p w14:paraId="5E5A2BD8">
      <w:pPr>
        <w:pStyle w:val="16"/>
        <w:numPr>
          <w:ilvl w:val="0"/>
          <w:numId w:val="8"/>
        </w:numPr>
      </w:pPr>
      <w:r>
        <w:t>场地稳定性较好，适宜进行工程建设，但需对杂填土等不良土层进行处理，以满足工程要求。</w:t>
      </w:r>
    </w:p>
    <w:p w14:paraId="4F0FBBE3">
      <w:pPr>
        <w:pStyle w:val="16"/>
        <w:numPr>
          <w:ilvl w:val="0"/>
          <w:numId w:val="8"/>
        </w:numPr>
      </w:pPr>
      <w:r>
        <w:t>建议根据建筑物的结构类型、荷载大小及场地地质条件，合理选择地基基础方案，并进行详细的设计计算。在施工过程中，应加强施工监测，如发现异常情况，应及时通知勘察、设计单位，以便采取相应措施。</w:t>
      </w:r>
    </w:p>
    <w:p w14:paraId="465CCEDF">
      <w:pPr>
        <w:pStyle w:val="16"/>
        <w:jc w:val="right"/>
      </w:pPr>
      <w:r>
        <w:rPr>
          <w:b/>
          <w:bCs/>
        </w:rPr>
        <w:t>勘察单位（盖章）</w:t>
      </w:r>
      <w:r>
        <w:t>：</w:t>
      </w:r>
    </w:p>
    <w:p w14:paraId="62846C32">
      <w:pPr>
        <w:pStyle w:val="16"/>
        <w:jc w:val="right"/>
      </w:pPr>
      <w:r>
        <w:rPr>
          <w:b/>
          <w:bCs/>
        </w:rPr>
        <w:t>项目负责人（签字）</w:t>
      </w:r>
      <w:r>
        <w:t>：</w:t>
      </w:r>
    </w:p>
    <w:p w14:paraId="2DCEE986">
      <w:pPr>
        <w:pStyle w:val="16"/>
        <w:jc w:val="right"/>
      </w:pPr>
      <w:bookmarkStart w:id="0" w:name="_GoBack"/>
      <w:bookmarkEnd w:id="0"/>
      <w:r>
        <w:rPr>
          <w:b/>
          <w:bCs/>
        </w:rPr>
        <w:t>报告日期</w:t>
      </w:r>
      <w:r>
        <w:t>：</w:t>
      </w:r>
    </w:p>
    <w:p w14:paraId="45EAABDD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decimal"/>
      <w:lvlText w:val="%4.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lowerLetter"/>
      <w:lvlText w:val="%5.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lowerRoman"/>
      <w:lvlText w:val="%6.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decimal"/>
      <w:lvlText w:val="%7.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lowerLetter"/>
      <w:lvlText w:val="%8.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lowerRoman"/>
      <w:lvlText w:val="%9."/>
      <w:lvlJc w:val="left"/>
      <w:pPr>
        <w:ind w:left="3744" w:hanging="288"/>
      </w:pPr>
      <w:rPr>
        <w:color w:val="3370FF"/>
        <w:sz w:val="22"/>
        <w:szCs w:val="22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5AE4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2202</Words>
  <Characters>2346</Characters>
  <TotalTime>4</TotalTime>
  <ScaleCrop>false</ScaleCrop>
  <LinksUpToDate>false</LinksUpToDate>
  <CharactersWithSpaces>2446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2025-03-11T03:47:00Z</dcterms:created>
  <dc:creator>Un-named</dc:creator>
  <cp:lastModifiedBy>没啥好名字</cp:lastModifiedBy>
  <dcterms:modified xsi:type="dcterms:W3CDTF">2025-03-11T03:51:24Z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eyJoZGlkIjoiYzBhNjRhMTJkOGRmMDI2MzIwOWU1ZWY4NDA2YTk1OTEiLCJ1c2VySWQiOiI1MDc3NDI1MjIifQ==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6BB240150B3541329EB26F5A920243FD_12</vt:lpwstr>
  </property>
</Properties>
</file>