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807" w:firstLineChars="500"/>
        <w:rPr>
          <w:rFonts w:hint="eastAsia" w:eastAsia="宋体" w:cs="Times New Roman"/>
          <w:b/>
          <w:bCs w:val="0"/>
          <w:color w:val="auto"/>
          <w:kern w:val="44"/>
          <w:sz w:val="36"/>
          <w:szCs w:val="22"/>
          <w:highlight w:val="none"/>
          <w:lang w:val="en-US" w:eastAsia="zh-CN" w:bidi="ar-SA"/>
        </w:rPr>
      </w:pPr>
      <w:r>
        <w:rPr>
          <w:rFonts w:hint="eastAsia" w:eastAsia="宋体" w:cs="Times New Roman"/>
          <w:b/>
          <w:bCs w:val="0"/>
          <w:color w:val="auto"/>
          <w:kern w:val="44"/>
          <w:sz w:val="36"/>
          <w:szCs w:val="22"/>
          <w:highlight w:val="none"/>
          <w:lang w:val="en-US" w:eastAsia="zh-CN" w:bidi="ar-SA"/>
        </w:rPr>
        <w:t>绿色建材应用比例计算表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住房城乡建设部、工业和信息化部出台了《绿色建材评价标识管理办法》、 《促进绿色建材生产和应用行动方案》等一系列文件，旨在加快绿色建材推广应 用，更好地支撑绿色建筑发展。绿色建材的应用比例不宜低于 30%。 绿色建材应用比例应根据按下式计算，并按下表确定得分： P=（S1+S2+S3+S4）/100×100% （7.2.18） 式中： P—绿色建材应用比例； S1—主体结构材料指标实际得分值； S2—围护墙和内隔墙指标实际得分值； S3—装修指标实际得分值； S4—其他指标实际得分值。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9"/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设计阶段建议具体绿色建材应用部位如下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，</w:t>
      </w:r>
    </w:p>
    <w:p>
      <w:pPr>
        <w:spacing w:line="360" w:lineRule="auto"/>
        <w:ind w:firstLine="480"/>
        <w:rPr>
          <w:rFonts w:hint="eastAsia" w:cs="Times New Roman"/>
          <w:color w:val="auto"/>
          <w:sz w:val="24"/>
          <w:highlight w:val="none"/>
          <w:lang w:val="en-US" w:eastAsia="zh-CN"/>
        </w:rPr>
      </w:pPr>
    </w:p>
    <w:tbl>
      <w:tblPr>
        <w:tblStyle w:val="5"/>
        <w:tblW w:w="7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797"/>
        <w:gridCol w:w="504"/>
        <w:gridCol w:w="1402"/>
        <w:gridCol w:w="986"/>
        <w:gridCol w:w="933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工程项目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2"/>
              </w:rPr>
              <w:t>渝北区大盛镇农村客运站新建工程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  <w:lang w:val="en-US" w:eastAsia="zh-CN"/>
              </w:rPr>
              <w:t>站楼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1" w:hRule="atLeast"/>
          <w:jc w:val="center"/>
        </w:trPr>
        <w:tc>
          <w:tcPr>
            <w:tcW w:w="27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评估指标</w:t>
            </w:r>
          </w:p>
        </w:tc>
        <w:tc>
          <w:tcPr>
            <w:tcW w:w="50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计量单位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应用比例要求</w:t>
            </w:r>
          </w:p>
        </w:tc>
        <w:tc>
          <w:tcPr>
            <w:tcW w:w="98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绿色建材应用量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建筑材料应用总量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应用比例%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一级指标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二级指标</w:t>
            </w:r>
          </w:p>
        </w:tc>
        <w:tc>
          <w:tcPr>
            <w:tcW w:w="50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主体结构S1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预拌混凝土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80%≤PS1a≤100%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281.18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281.18 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预拌砂浆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50%≤PS1b≤100%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3452.65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3452.65 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7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围护墙和内隔墙S2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非承重围护墙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PS2a≥80%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2907.61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2907.61 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4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内隔墙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m³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PS2b≥80%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4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装修S3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外墙装饰面层涂料、面砖、非玻璃幕墙板等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PS3a≥80%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0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内墙装饰面层涂料、面砖、壁纸等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PS3b≥80%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6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室内顶棚装饰面层涂料、吊顶等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PS3c≥80%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6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室内地面装饰面层木地板、面砖等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PS3d≥80%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7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门窗、玻璃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PS3e≥80%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  <w:lang w:val="en-US" w:eastAsia="zh-CN"/>
              </w:rPr>
              <w:t>591.3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  <w:lang w:val="en-US" w:eastAsia="zh-CN"/>
              </w:rPr>
              <w:t>591.3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0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其他S4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保温材料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80%≤PS4a≤100%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34526.50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 xml:space="preserve">34526.50 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3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卫生洁具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PS4b≥80%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防水材料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m2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PS4c≥80%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 xml:space="preserve">8631.63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 xml:space="preserve">8631.63 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密封材料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kg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PS4d≥80%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1" w:hRule="atLeast"/>
          <w:jc w:val="center"/>
        </w:trPr>
        <w:tc>
          <w:tcPr>
            <w:tcW w:w="90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其他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—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PS4e≥80%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9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绿色建材应用比例</w:t>
            </w:r>
          </w:p>
        </w:tc>
        <w:tc>
          <w:tcPr>
            <w:tcW w:w="370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P= [(S1+S2+S3+S4)/100]*100%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highlight w:val="none"/>
                <w:lang w:val="en-US" w:eastAsia="zh-CN"/>
              </w:rPr>
              <w:t>%</w:t>
            </w:r>
          </w:p>
        </w:tc>
      </w:tr>
    </w:tbl>
    <w:p>
      <w:pPr>
        <w:spacing w:line="360" w:lineRule="auto"/>
        <w:ind w:firstLine="480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cs="Times New Roman"/>
          <w:color w:val="auto"/>
          <w:sz w:val="24"/>
          <w:highlight w:val="none"/>
          <w:lang w:val="en-US" w:eastAsia="zh-CN"/>
        </w:rPr>
        <w:t>综上所述，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绿色建材的应用比例不低于60%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。</w:t>
      </w:r>
    </w:p>
    <w:p>
      <w:bookmarkStart w:id="0" w:name="_Toc1687"/>
      <w:r>
        <w:rPr>
          <w:rFonts w:hint="eastAsia" w:eastAsia="宋体" w:cs="Times New Roman"/>
          <w:b/>
          <w:bCs w:val="0"/>
          <w:color w:val="auto"/>
          <w:kern w:val="44"/>
          <w:sz w:val="36"/>
          <w:szCs w:val="22"/>
          <w:highlight w:val="none"/>
          <w:lang w:val="en-US" w:eastAsia="zh-CN" w:bidi="ar-SA"/>
        </w:rPr>
        <w:br w:type="page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OGFiMjUyZDE4NmIyYWIxZmM0ZjkyMWZjZWU1NzgifQ=="/>
  </w:docVars>
  <w:rsids>
    <w:rsidRoot w:val="625B317E"/>
    <w:rsid w:val="625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56" w:beforeLines="50" w:after="156" w:afterLines="50"/>
      <w:ind w:firstLine="0" w:firstLineChars="0"/>
      <w:jc w:val="left"/>
      <w:outlineLvl w:val="1"/>
    </w:pPr>
    <w:rPr>
      <w:rFonts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210"/>
    </w:pPr>
    <w:rPr>
      <w:rFonts w:hint="eastAsia" w:ascii="Calibri" w:hAnsi="Calibri"/>
      <w:sz w:val="21"/>
      <w:szCs w:val="24"/>
    </w:r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2023-02-11T08:36:00Z</dcterms:created>
  <dc:creator>青柠</dc:creator>
  <cp:lastModifiedBy>青柠</cp:lastModifiedBy>
  <dcterms:modified xsi:type="dcterms:W3CDTF">2023-02-11T08:56:07Z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82151BA8C40B4329A1A02E37AC8BA8E2</vt:lpwstr>
  </property>
</Properties>
</file>