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C134FA">
      <w:pPr>
        <w:widowControl w:val="0"/>
        <w:spacing w:after="312" w:afterLines="100" w:line="240" w:lineRule="auto"/>
        <w:rPr>
          <w:rFonts w:ascii="宋体" w:hAnsi="宋体"/>
          <w:b/>
          <w:bCs/>
          <w:kern w:val="2"/>
          <w:sz w:val="30"/>
          <w:szCs w:val="24"/>
          <w:lang w:val="en-US"/>
        </w:rPr>
      </w:pPr>
      <w:bookmarkStart w:id="85" w:name="_GoBack"/>
      <w:bookmarkEnd w:id="85"/>
    </w:p>
    <w:p w14:paraId="07456608">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室内热湿</w:t>
      </w:r>
      <w:r>
        <w:rPr>
          <w:rFonts w:ascii="黑体" w:hAnsi="宋体" w:eastAsia="黑体"/>
          <w:b/>
          <w:bCs/>
          <w:sz w:val="72"/>
          <w:szCs w:val="72"/>
        </w:rPr>
        <w:t>环境</w:t>
      </w:r>
      <w:r>
        <w:rPr>
          <w:rFonts w:hint="eastAsia" w:ascii="黑体" w:hAnsi="宋体" w:eastAsia="黑体"/>
          <w:b/>
          <w:bCs/>
          <w:sz w:val="72"/>
          <w:szCs w:val="72"/>
        </w:rPr>
        <w:t>评价报告书</w:t>
      </w:r>
    </w:p>
    <w:p w14:paraId="4825ABCD">
      <w:pPr>
        <w:spacing w:line="180" w:lineRule="atLeast"/>
        <w:rPr>
          <w:rFonts w:ascii="宋体" w:hAnsi="宋体"/>
          <w:b/>
          <w:bCs/>
          <w:sz w:val="36"/>
          <w:szCs w:val="36"/>
          <w:lang w:val="en-US"/>
        </w:rPr>
      </w:pPr>
      <w:bookmarkStart w:id="0" w:name="建筑类别"/>
      <w:bookmarkEnd w:id="0"/>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7E0F6E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7C721742">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70961837">
            <w:pPr>
              <w:pStyle w:val="17"/>
              <w:tabs>
                <w:tab w:val="clear" w:pos="4153"/>
                <w:tab w:val="clear" w:pos="8306"/>
              </w:tabs>
              <w:snapToGrid/>
              <w:jc w:val="both"/>
              <w:rPr>
                <w:rFonts w:ascii="宋体" w:hAnsi="宋体"/>
                <w:szCs w:val="21"/>
              </w:rPr>
            </w:pPr>
            <w:bookmarkStart w:id="1" w:name="项目名称"/>
            <w:r>
              <w:t>新建项目</w:t>
            </w:r>
          </w:p>
        </w:tc>
      </w:tr>
      <w:tr w14:paraId="602001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2246367">
            <w:pPr>
              <w:jc w:val="both"/>
              <w:rPr>
                <w:rFonts w:ascii="宋体" w:hAnsi="宋体"/>
                <w:szCs w:val="21"/>
              </w:rPr>
            </w:pPr>
            <w:r>
              <w:rPr>
                <w:rFonts w:hint="eastAsia" w:ascii="宋体" w:hAnsi="宋体"/>
                <w:szCs w:val="21"/>
              </w:rPr>
              <w:t>工程地点</w:t>
            </w:r>
          </w:p>
        </w:tc>
        <w:tc>
          <w:tcPr>
            <w:tcW w:w="3780" w:type="dxa"/>
          </w:tcPr>
          <w:p w14:paraId="0EA8622C">
            <w:pPr>
              <w:jc w:val="both"/>
              <w:rPr>
                <w:rFonts w:ascii="宋体" w:hAnsi="宋体"/>
                <w:szCs w:val="21"/>
              </w:rPr>
            </w:pPr>
            <w:bookmarkStart w:id="2" w:name="项目地点"/>
            <w:r>
              <w:t>湖北-武汉</w:t>
            </w:r>
          </w:p>
        </w:tc>
      </w:tr>
      <w:tr w14:paraId="095EE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A545D51">
            <w:pPr>
              <w:jc w:val="both"/>
              <w:rPr>
                <w:rFonts w:ascii="宋体" w:hAnsi="宋体"/>
                <w:szCs w:val="21"/>
              </w:rPr>
            </w:pPr>
            <w:r>
              <w:rPr>
                <w:rFonts w:hint="eastAsia" w:ascii="宋体" w:hAnsi="宋体"/>
                <w:szCs w:val="21"/>
              </w:rPr>
              <w:t>设计编号</w:t>
            </w:r>
          </w:p>
        </w:tc>
        <w:tc>
          <w:tcPr>
            <w:tcW w:w="3780" w:type="dxa"/>
          </w:tcPr>
          <w:p w14:paraId="5CDA0EE4">
            <w:pPr>
              <w:jc w:val="both"/>
              <w:rPr>
                <w:rFonts w:ascii="宋体" w:hAnsi="宋体"/>
                <w:szCs w:val="21"/>
              </w:rPr>
            </w:pPr>
            <w:bookmarkStart w:id="3" w:name="设计编号"/>
          </w:p>
        </w:tc>
      </w:tr>
      <w:tr w14:paraId="6362DE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3C9ED1">
            <w:pPr>
              <w:jc w:val="both"/>
              <w:rPr>
                <w:rFonts w:ascii="宋体" w:hAnsi="宋体"/>
                <w:szCs w:val="21"/>
              </w:rPr>
            </w:pPr>
            <w:r>
              <w:rPr>
                <w:rFonts w:hint="eastAsia" w:ascii="宋体" w:hAnsi="宋体"/>
                <w:szCs w:val="21"/>
              </w:rPr>
              <w:t>建设单位</w:t>
            </w:r>
          </w:p>
        </w:tc>
        <w:tc>
          <w:tcPr>
            <w:tcW w:w="3780" w:type="dxa"/>
          </w:tcPr>
          <w:p w14:paraId="6ED0DEFC">
            <w:pPr>
              <w:rPr>
                <w:rFonts w:ascii="宋体" w:hAnsi="宋体"/>
                <w:szCs w:val="21"/>
              </w:rPr>
            </w:pPr>
            <w:bookmarkStart w:id="4" w:name="建设单位"/>
            <w:bookmarkEnd w:id="4"/>
          </w:p>
        </w:tc>
      </w:tr>
      <w:tr w14:paraId="2365E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tcPr>
          <w:p w14:paraId="2ADDE67E">
            <w:pPr>
              <w:jc w:val="both"/>
              <w:rPr>
                <w:rFonts w:ascii="宋体" w:hAnsi="宋体"/>
                <w:szCs w:val="21"/>
              </w:rPr>
            </w:pPr>
            <w:r>
              <w:rPr>
                <w:rFonts w:hint="eastAsia" w:ascii="宋体" w:hAnsi="宋体"/>
                <w:szCs w:val="21"/>
              </w:rPr>
              <w:t>设计单位</w:t>
            </w:r>
          </w:p>
        </w:tc>
        <w:tc>
          <w:tcPr>
            <w:tcW w:w="3780" w:type="dxa"/>
          </w:tcPr>
          <w:p w14:paraId="243B88FD">
            <w:pPr>
              <w:rPr>
                <w:rFonts w:ascii="宋体" w:hAnsi="宋体"/>
                <w:szCs w:val="21"/>
              </w:rPr>
            </w:pPr>
            <w:bookmarkStart w:id="5" w:name="设计单位"/>
            <w:bookmarkEnd w:id="5"/>
          </w:p>
        </w:tc>
      </w:tr>
      <w:tr w14:paraId="31755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804EE33">
            <w:pPr>
              <w:jc w:val="both"/>
              <w:rPr>
                <w:rFonts w:ascii="宋体" w:hAnsi="宋体"/>
                <w:szCs w:val="21"/>
              </w:rPr>
            </w:pPr>
            <w:r>
              <w:rPr>
                <w:rFonts w:hint="eastAsia" w:ascii="宋体" w:hAnsi="宋体"/>
                <w:szCs w:val="21"/>
              </w:rPr>
              <w:t>设 计 人</w:t>
            </w:r>
          </w:p>
        </w:tc>
        <w:tc>
          <w:tcPr>
            <w:tcW w:w="3780" w:type="dxa"/>
          </w:tcPr>
          <w:p w14:paraId="1A0540DC">
            <w:pPr>
              <w:rPr>
                <w:rFonts w:ascii="宋体" w:hAnsi="宋体"/>
                <w:szCs w:val="21"/>
              </w:rPr>
            </w:pPr>
          </w:p>
        </w:tc>
      </w:tr>
      <w:tr w14:paraId="7F0C7C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22C6A8">
            <w:pPr>
              <w:jc w:val="both"/>
              <w:rPr>
                <w:rFonts w:ascii="宋体" w:hAnsi="宋体"/>
                <w:szCs w:val="21"/>
              </w:rPr>
            </w:pPr>
            <w:r>
              <w:rPr>
                <w:rFonts w:hint="eastAsia" w:ascii="宋体" w:hAnsi="宋体"/>
                <w:szCs w:val="21"/>
              </w:rPr>
              <w:t>校 对 人</w:t>
            </w:r>
          </w:p>
        </w:tc>
        <w:tc>
          <w:tcPr>
            <w:tcW w:w="3780" w:type="dxa"/>
          </w:tcPr>
          <w:p w14:paraId="595FE9B3">
            <w:pPr>
              <w:rPr>
                <w:rFonts w:ascii="宋体" w:hAnsi="宋体"/>
                <w:szCs w:val="21"/>
              </w:rPr>
            </w:pPr>
          </w:p>
        </w:tc>
      </w:tr>
      <w:tr w14:paraId="154EB3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62B797">
            <w:pPr>
              <w:jc w:val="both"/>
              <w:rPr>
                <w:rFonts w:ascii="宋体" w:hAnsi="宋体"/>
                <w:szCs w:val="21"/>
              </w:rPr>
            </w:pPr>
            <w:r>
              <w:rPr>
                <w:rFonts w:hint="eastAsia" w:ascii="宋体" w:hAnsi="宋体"/>
                <w:szCs w:val="21"/>
              </w:rPr>
              <w:t>审 核 人</w:t>
            </w:r>
          </w:p>
        </w:tc>
        <w:tc>
          <w:tcPr>
            <w:tcW w:w="3780" w:type="dxa"/>
          </w:tcPr>
          <w:p w14:paraId="6660267A">
            <w:pPr>
              <w:rPr>
                <w:rFonts w:ascii="宋体" w:hAnsi="宋体"/>
                <w:szCs w:val="21"/>
              </w:rPr>
            </w:pPr>
          </w:p>
        </w:tc>
      </w:tr>
      <w:tr w14:paraId="374BF8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7941AA5">
            <w:pPr>
              <w:jc w:val="both"/>
              <w:rPr>
                <w:rFonts w:ascii="宋体" w:hAnsi="宋体"/>
                <w:szCs w:val="21"/>
              </w:rPr>
            </w:pPr>
            <w:r>
              <w:rPr>
                <w:rFonts w:hint="eastAsia" w:ascii="宋体" w:hAnsi="宋体"/>
                <w:szCs w:val="21"/>
              </w:rPr>
              <w:t>审 定 人</w:t>
            </w:r>
          </w:p>
        </w:tc>
        <w:tc>
          <w:tcPr>
            <w:tcW w:w="3780" w:type="dxa"/>
          </w:tcPr>
          <w:p w14:paraId="33815FC9">
            <w:pPr>
              <w:rPr>
                <w:rFonts w:ascii="宋体" w:hAnsi="宋体"/>
                <w:szCs w:val="21"/>
              </w:rPr>
            </w:pPr>
          </w:p>
        </w:tc>
      </w:tr>
      <w:tr w14:paraId="1904D7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596A9E71">
            <w:pPr>
              <w:jc w:val="both"/>
              <w:rPr>
                <w:rFonts w:ascii="宋体" w:hAnsi="宋体"/>
                <w:szCs w:val="21"/>
              </w:rPr>
            </w:pPr>
            <w:r>
              <w:rPr>
                <w:rFonts w:hint="eastAsia" w:ascii="宋体" w:hAnsi="宋体"/>
                <w:szCs w:val="21"/>
              </w:rPr>
              <w:t>设计日期</w:t>
            </w:r>
          </w:p>
        </w:tc>
        <w:tc>
          <w:tcPr>
            <w:tcW w:w="3780" w:type="dxa"/>
          </w:tcPr>
          <w:p w14:paraId="1EF11BC5">
            <w:pPr>
              <w:rPr>
                <w:rFonts w:ascii="宋体" w:hAnsi="宋体"/>
                <w:szCs w:val="21"/>
              </w:rPr>
            </w:pPr>
            <w:bookmarkStart w:id="6" w:name="报告日期"/>
            <w:r>
              <w:rPr>
                <w:rFonts w:hint="eastAsia" w:ascii="宋体" w:hAnsi="宋体"/>
                <w:szCs w:val="21"/>
              </w:rPr>
              <w:t>2025年03月10日</w:t>
            </w:r>
            <w:bookmarkEnd w:id="6"/>
          </w:p>
        </w:tc>
      </w:tr>
    </w:tbl>
    <w:p w14:paraId="3B7A3FE9">
      <w:pPr>
        <w:spacing w:line="240" w:lineRule="auto"/>
        <w:rPr>
          <w:rFonts w:ascii="宋体" w:hAnsi="宋体"/>
          <w:lang w:val="en-US"/>
        </w:rPr>
      </w:pPr>
    </w:p>
    <w:p w14:paraId="2D11D31E">
      <w:pPr>
        <w:spacing w:line="240" w:lineRule="auto"/>
        <w:rPr>
          <w:rFonts w:ascii="宋体" w:hAnsi="宋体"/>
          <w:lang w:val="en-US"/>
        </w:rPr>
      </w:pPr>
    </w:p>
    <w:p w14:paraId="63CD12D6">
      <w:pPr>
        <w:spacing w:line="240" w:lineRule="auto"/>
        <w:jc w:val="center"/>
        <w:rPr>
          <w:rFonts w:ascii="宋体" w:hAnsi="宋体"/>
          <w:lang w:val="en-US"/>
        </w:rPr>
      </w:pPr>
      <w:bookmarkStart w:id="7" w:name="二维码"/>
      <w:bookmarkEnd w:id="7"/>
      <w:r>
        <w:drawing>
          <wp:inline distT="0" distB="0" distL="0" distR="0">
            <wp:extent cx="1628775" cy="1628775"/>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6C636E15">
      <w:pPr>
        <w:spacing w:line="240" w:lineRule="auto"/>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1F859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0785098A">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527EEF6">
            <w:pPr>
              <w:spacing w:line="240" w:lineRule="atLeast"/>
              <w:jc w:val="both"/>
              <w:rPr>
                <w:rFonts w:ascii="宋体" w:hAnsi="宋体"/>
                <w:szCs w:val="21"/>
              </w:rPr>
            </w:pPr>
            <w:bookmarkStart w:id="8" w:name="采用软件"/>
            <w:r>
              <w:rPr>
                <w:rFonts w:hint="eastAsia" w:ascii="宋体" w:hAnsi="宋体"/>
                <w:szCs w:val="21"/>
              </w:rPr>
              <w:t>室内热舒适评价软件ITES2024</w:t>
            </w:r>
            <w:bookmarkEnd w:id="8"/>
          </w:p>
        </w:tc>
      </w:tr>
      <w:tr w14:paraId="4D3C47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453C3D3">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CF60252">
            <w:pPr>
              <w:spacing w:line="240" w:lineRule="atLeast"/>
              <w:jc w:val="both"/>
              <w:rPr>
                <w:rFonts w:ascii="宋体" w:hAnsi="宋体"/>
                <w:szCs w:val="21"/>
              </w:rPr>
            </w:pPr>
            <w:bookmarkStart w:id="9" w:name="软件版本"/>
            <w:r>
              <w:rPr>
                <w:rFonts w:ascii="宋体" w:hAnsi="宋体"/>
                <w:szCs w:val="21"/>
              </w:rPr>
              <w:t>20240430(SP1)</w:t>
            </w:r>
            <w:bookmarkEnd w:id="9"/>
          </w:p>
        </w:tc>
      </w:tr>
      <w:tr w14:paraId="50242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2B12E365">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4BF98962">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76E1A1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BAEC577">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D256097">
            <w:pPr>
              <w:widowControl w:val="0"/>
              <w:spacing w:line="240" w:lineRule="auto"/>
              <w:jc w:val="both"/>
              <w:rPr>
                <w:rFonts w:ascii="宋体" w:hAnsi="宋体" w:eastAsia="等线"/>
                <w:kern w:val="2"/>
                <w:szCs w:val="21"/>
                <w:lang w:val="en-US"/>
              </w:rPr>
            </w:pPr>
            <w:bookmarkStart w:id="10" w:name="加密锁号"/>
            <w:r>
              <w:t>T13517511099</w:t>
            </w:r>
            <w:bookmarkEnd w:id="10"/>
          </w:p>
        </w:tc>
      </w:tr>
    </w:tbl>
    <w:p w14:paraId="6E1083C4">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114572F6">
      <w:pPr>
        <w:pStyle w:val="19"/>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_Toc16017 </w:instrText>
      </w:r>
      <w:r>
        <w:rPr>
          <w:rFonts w:ascii="宋体" w:hAnsi="宋体"/>
          <w:bCs w:val="0"/>
          <w:caps/>
        </w:rPr>
        <w:fldChar w:fldCharType="separate"/>
      </w:r>
      <w:r>
        <w:rPr>
          <w:rFonts w:hint="eastAsia"/>
        </w:rPr>
        <w:t>1 项目概况</w:t>
      </w:r>
      <w:r>
        <w:tab/>
      </w:r>
      <w:r>
        <w:fldChar w:fldCharType="begin"/>
      </w:r>
      <w:r>
        <w:instrText xml:space="preserve"> PAGEREF _Toc16017 \h </w:instrText>
      </w:r>
      <w:r>
        <w:fldChar w:fldCharType="separate"/>
      </w:r>
      <w:r>
        <w:t>3</w:t>
      </w:r>
      <w:r>
        <w:fldChar w:fldCharType="end"/>
      </w:r>
      <w:r>
        <w:rPr>
          <w:rFonts w:ascii="宋体" w:hAnsi="宋体"/>
          <w:bCs w:val="0"/>
          <w:caps/>
        </w:rPr>
        <w:fldChar w:fldCharType="end"/>
      </w:r>
    </w:p>
    <w:p w14:paraId="059212D9">
      <w:pPr>
        <w:pStyle w:val="20"/>
        <w:tabs>
          <w:tab w:val="right" w:leader="dot" w:pos="8930"/>
          <w:tab w:val="clear" w:pos="540"/>
          <w:tab w:val="clear" w:pos="840"/>
          <w:tab w:val="clear" w:pos="9360"/>
        </w:tabs>
      </w:pPr>
      <w:r>
        <w:fldChar w:fldCharType="begin"/>
      </w:r>
      <w:r>
        <w:instrText xml:space="preserve"> HYPERLINK \l _Toc24227 </w:instrText>
      </w:r>
      <w:r>
        <w:fldChar w:fldCharType="separate"/>
      </w:r>
      <w:r>
        <w:rPr>
          <w:rFonts w:hint="eastAsia"/>
          <w:lang w:val="en-GB"/>
        </w:rPr>
        <w:t xml:space="preserve">1.1 </w:t>
      </w:r>
      <w:r>
        <w:t>平面图</w:t>
      </w:r>
      <w:r>
        <w:tab/>
      </w:r>
      <w:r>
        <w:fldChar w:fldCharType="begin"/>
      </w:r>
      <w:r>
        <w:instrText xml:space="preserve"> PAGEREF _Toc24227 \h </w:instrText>
      </w:r>
      <w:r>
        <w:fldChar w:fldCharType="separate"/>
      </w:r>
      <w:r>
        <w:t>4</w:t>
      </w:r>
      <w:r>
        <w:fldChar w:fldCharType="end"/>
      </w:r>
      <w:r>
        <w:fldChar w:fldCharType="end"/>
      </w:r>
    </w:p>
    <w:p w14:paraId="2DAAE1C5">
      <w:pPr>
        <w:pStyle w:val="20"/>
        <w:tabs>
          <w:tab w:val="right" w:leader="dot" w:pos="8930"/>
          <w:tab w:val="clear" w:pos="540"/>
          <w:tab w:val="clear" w:pos="840"/>
          <w:tab w:val="clear" w:pos="9360"/>
        </w:tabs>
      </w:pPr>
      <w:r>
        <w:fldChar w:fldCharType="begin"/>
      </w:r>
      <w:r>
        <w:instrText xml:space="preserve"> HYPERLINK \l _Toc1676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_Toc1676 \h </w:instrText>
      </w:r>
      <w:r>
        <w:fldChar w:fldCharType="separate"/>
      </w:r>
      <w:r>
        <w:t>5</w:t>
      </w:r>
      <w:r>
        <w:fldChar w:fldCharType="end"/>
      </w:r>
      <w:r>
        <w:fldChar w:fldCharType="end"/>
      </w:r>
    </w:p>
    <w:p w14:paraId="30DF06F5">
      <w:pPr>
        <w:pStyle w:val="19"/>
        <w:tabs>
          <w:tab w:val="right" w:leader="dot" w:pos="8930"/>
          <w:tab w:val="clear" w:pos="180"/>
          <w:tab w:val="clear" w:pos="420"/>
          <w:tab w:val="clear" w:pos="9360"/>
        </w:tabs>
      </w:pPr>
      <w:r>
        <w:fldChar w:fldCharType="begin"/>
      </w:r>
      <w:r>
        <w:instrText xml:space="preserve"> HYPERLINK \l _Toc22248 </w:instrText>
      </w:r>
      <w:r>
        <w:fldChar w:fldCharType="separate"/>
      </w:r>
      <w:r>
        <w:rPr>
          <w:rFonts w:hint="eastAsia"/>
        </w:rPr>
        <w:t>2 计算</w:t>
      </w:r>
      <w:r>
        <w:t>依据</w:t>
      </w:r>
      <w:r>
        <w:tab/>
      </w:r>
      <w:r>
        <w:fldChar w:fldCharType="begin"/>
      </w:r>
      <w:r>
        <w:instrText xml:space="preserve"> PAGEREF _Toc22248 \h </w:instrText>
      </w:r>
      <w:r>
        <w:fldChar w:fldCharType="separate"/>
      </w:r>
      <w:r>
        <w:t>6</w:t>
      </w:r>
      <w:r>
        <w:fldChar w:fldCharType="end"/>
      </w:r>
      <w:r>
        <w:fldChar w:fldCharType="end"/>
      </w:r>
    </w:p>
    <w:p w14:paraId="2AB33F2B">
      <w:pPr>
        <w:pStyle w:val="19"/>
        <w:tabs>
          <w:tab w:val="right" w:leader="dot" w:pos="8930"/>
          <w:tab w:val="clear" w:pos="180"/>
          <w:tab w:val="clear" w:pos="420"/>
          <w:tab w:val="clear" w:pos="9360"/>
        </w:tabs>
      </w:pPr>
      <w:r>
        <w:fldChar w:fldCharType="begin"/>
      </w:r>
      <w:r>
        <w:instrText xml:space="preserve"> HYPERLINK \l _Toc11325 </w:instrText>
      </w:r>
      <w:r>
        <w:fldChar w:fldCharType="separate"/>
      </w:r>
      <w:r>
        <w:rPr>
          <w:rFonts w:hint="eastAsia"/>
        </w:rPr>
        <w:t>3 参考</w:t>
      </w:r>
      <w:r>
        <w:t>标准</w:t>
      </w:r>
      <w:r>
        <w:tab/>
      </w:r>
      <w:r>
        <w:fldChar w:fldCharType="begin"/>
      </w:r>
      <w:r>
        <w:instrText xml:space="preserve"> PAGEREF _Toc11325 \h </w:instrText>
      </w:r>
      <w:r>
        <w:fldChar w:fldCharType="separate"/>
      </w:r>
      <w:r>
        <w:t>6</w:t>
      </w:r>
      <w:r>
        <w:fldChar w:fldCharType="end"/>
      </w:r>
      <w:r>
        <w:fldChar w:fldCharType="end"/>
      </w:r>
    </w:p>
    <w:p w14:paraId="702A0363">
      <w:pPr>
        <w:pStyle w:val="19"/>
        <w:tabs>
          <w:tab w:val="right" w:leader="dot" w:pos="8930"/>
          <w:tab w:val="clear" w:pos="180"/>
          <w:tab w:val="clear" w:pos="420"/>
          <w:tab w:val="clear" w:pos="9360"/>
        </w:tabs>
      </w:pPr>
      <w:r>
        <w:fldChar w:fldCharType="begin"/>
      </w:r>
      <w:r>
        <w:instrText xml:space="preserve"> HYPERLINK \l _Toc15604 </w:instrText>
      </w:r>
      <w:r>
        <w:fldChar w:fldCharType="separate"/>
      </w:r>
      <w:r>
        <w:rPr>
          <w:rFonts w:hint="eastAsia"/>
        </w:rPr>
        <w:t>4 室内热湿环境整体评价指标PMV与PPD计算方法</w:t>
      </w:r>
      <w:r>
        <w:tab/>
      </w:r>
      <w:r>
        <w:fldChar w:fldCharType="begin"/>
      </w:r>
      <w:r>
        <w:instrText xml:space="preserve"> PAGEREF _Toc15604 \h </w:instrText>
      </w:r>
      <w:r>
        <w:fldChar w:fldCharType="separate"/>
      </w:r>
      <w:r>
        <w:t>6</w:t>
      </w:r>
      <w:r>
        <w:fldChar w:fldCharType="end"/>
      </w:r>
      <w:r>
        <w:fldChar w:fldCharType="end"/>
      </w:r>
    </w:p>
    <w:p w14:paraId="0E279994">
      <w:pPr>
        <w:pStyle w:val="20"/>
        <w:tabs>
          <w:tab w:val="right" w:leader="dot" w:pos="8930"/>
          <w:tab w:val="clear" w:pos="540"/>
          <w:tab w:val="clear" w:pos="840"/>
          <w:tab w:val="clear" w:pos="9360"/>
        </w:tabs>
      </w:pPr>
      <w:r>
        <w:fldChar w:fldCharType="begin"/>
      </w:r>
      <w:r>
        <w:instrText xml:space="preserve"> HYPERLINK \l _Toc27864 </w:instrText>
      </w:r>
      <w:r>
        <w:fldChar w:fldCharType="separate"/>
      </w:r>
      <w:r>
        <w:rPr>
          <w:rFonts w:hint="eastAsia"/>
          <w:lang w:val="en-GB"/>
        </w:rPr>
        <w:t xml:space="preserve">4.1 </w:t>
      </w:r>
      <w:r>
        <w:t>CFD</w:t>
      </w:r>
      <w:r>
        <w:rPr>
          <w:rFonts w:hint="eastAsia"/>
        </w:rPr>
        <w:t>计算原理</w:t>
      </w:r>
      <w:r>
        <w:tab/>
      </w:r>
      <w:r>
        <w:fldChar w:fldCharType="begin"/>
      </w:r>
      <w:r>
        <w:instrText xml:space="preserve"> PAGEREF _Toc27864 \h </w:instrText>
      </w:r>
      <w:r>
        <w:fldChar w:fldCharType="separate"/>
      </w:r>
      <w:r>
        <w:t>6</w:t>
      </w:r>
      <w:r>
        <w:fldChar w:fldCharType="end"/>
      </w:r>
      <w:r>
        <w:fldChar w:fldCharType="end"/>
      </w:r>
    </w:p>
    <w:p w14:paraId="580CA8F5">
      <w:pPr>
        <w:pStyle w:val="15"/>
        <w:tabs>
          <w:tab w:val="right" w:leader="dot" w:pos="8930"/>
          <w:tab w:val="clear" w:pos="900"/>
          <w:tab w:val="clear" w:pos="1260"/>
          <w:tab w:val="clear" w:pos="9360"/>
        </w:tabs>
      </w:pPr>
      <w:r>
        <w:fldChar w:fldCharType="begin"/>
      </w:r>
      <w:r>
        <w:instrText xml:space="preserve"> HYPERLINK \l _Toc14974 </w:instrText>
      </w:r>
      <w:r>
        <w:fldChar w:fldCharType="separate"/>
      </w:r>
      <w:r>
        <w:rPr>
          <w:rFonts w:hint="eastAsia" w:eastAsia="宋体"/>
          <w:szCs w:val="24"/>
          <w:lang w:val="en-GB"/>
        </w:rPr>
        <w:t xml:space="preserve">4.1.1 </w:t>
      </w:r>
      <w:r>
        <w:rPr>
          <w:rFonts w:hint="eastAsia"/>
        </w:rPr>
        <w:t>湍流模型</w:t>
      </w:r>
      <w:r>
        <w:tab/>
      </w:r>
      <w:r>
        <w:fldChar w:fldCharType="begin"/>
      </w:r>
      <w:r>
        <w:instrText xml:space="preserve"> PAGEREF _Toc14974 \h </w:instrText>
      </w:r>
      <w:r>
        <w:fldChar w:fldCharType="separate"/>
      </w:r>
      <w:r>
        <w:t>6</w:t>
      </w:r>
      <w:r>
        <w:fldChar w:fldCharType="end"/>
      </w:r>
      <w:r>
        <w:fldChar w:fldCharType="end"/>
      </w:r>
    </w:p>
    <w:p w14:paraId="7CAF30D1">
      <w:pPr>
        <w:pStyle w:val="15"/>
        <w:tabs>
          <w:tab w:val="right" w:leader="dot" w:pos="8930"/>
          <w:tab w:val="clear" w:pos="900"/>
          <w:tab w:val="clear" w:pos="1260"/>
          <w:tab w:val="clear" w:pos="9360"/>
        </w:tabs>
      </w:pPr>
      <w:r>
        <w:fldChar w:fldCharType="begin"/>
      </w:r>
      <w:r>
        <w:instrText xml:space="preserve"> HYPERLINK \l _Toc28488 </w:instrText>
      </w:r>
      <w:r>
        <w:fldChar w:fldCharType="separate"/>
      </w:r>
      <w:r>
        <w:rPr>
          <w:rFonts w:hint="eastAsia" w:eastAsia="宋体"/>
          <w:szCs w:val="24"/>
          <w:lang w:val="en-GB"/>
        </w:rPr>
        <w:t xml:space="preserve">4.1.2 </w:t>
      </w:r>
      <w:r>
        <w:rPr>
          <w:rFonts w:hint="eastAsia"/>
        </w:rPr>
        <w:t>边界条件</w:t>
      </w:r>
      <w:r>
        <w:tab/>
      </w:r>
      <w:r>
        <w:fldChar w:fldCharType="begin"/>
      </w:r>
      <w:r>
        <w:instrText xml:space="preserve"> PAGEREF _Toc28488 \h </w:instrText>
      </w:r>
      <w:r>
        <w:fldChar w:fldCharType="separate"/>
      </w:r>
      <w:r>
        <w:t>7</w:t>
      </w:r>
      <w:r>
        <w:fldChar w:fldCharType="end"/>
      </w:r>
      <w:r>
        <w:fldChar w:fldCharType="end"/>
      </w:r>
    </w:p>
    <w:p w14:paraId="2D9EA97C">
      <w:pPr>
        <w:pStyle w:val="15"/>
        <w:tabs>
          <w:tab w:val="right" w:leader="dot" w:pos="8930"/>
          <w:tab w:val="clear" w:pos="900"/>
          <w:tab w:val="clear" w:pos="1260"/>
          <w:tab w:val="clear" w:pos="9360"/>
        </w:tabs>
      </w:pPr>
      <w:r>
        <w:fldChar w:fldCharType="begin"/>
      </w:r>
      <w:r>
        <w:instrText xml:space="preserve"> HYPERLINK \l _Toc5802 </w:instrText>
      </w:r>
      <w:r>
        <w:fldChar w:fldCharType="separate"/>
      </w:r>
      <w:r>
        <w:rPr>
          <w:rFonts w:hint="eastAsia" w:eastAsia="宋体"/>
          <w:szCs w:val="24"/>
          <w:lang w:val="en-GB"/>
        </w:rPr>
        <w:t xml:space="preserve">4.1.3 </w:t>
      </w:r>
      <w:r>
        <w:rPr>
          <w:rFonts w:hint="eastAsia"/>
        </w:rPr>
        <w:t>求解计算</w:t>
      </w:r>
      <w:r>
        <w:tab/>
      </w:r>
      <w:r>
        <w:fldChar w:fldCharType="begin"/>
      </w:r>
      <w:r>
        <w:instrText xml:space="preserve"> PAGEREF _Toc5802 \h </w:instrText>
      </w:r>
      <w:r>
        <w:fldChar w:fldCharType="separate"/>
      </w:r>
      <w:r>
        <w:t>7</w:t>
      </w:r>
      <w:r>
        <w:fldChar w:fldCharType="end"/>
      </w:r>
      <w:r>
        <w:fldChar w:fldCharType="end"/>
      </w:r>
    </w:p>
    <w:p w14:paraId="6D03D42C">
      <w:pPr>
        <w:pStyle w:val="20"/>
        <w:tabs>
          <w:tab w:val="right" w:leader="dot" w:pos="8930"/>
          <w:tab w:val="clear" w:pos="540"/>
          <w:tab w:val="clear" w:pos="840"/>
          <w:tab w:val="clear" w:pos="9360"/>
        </w:tabs>
      </w:pPr>
      <w:r>
        <w:fldChar w:fldCharType="begin"/>
      </w:r>
      <w:r>
        <w:instrText xml:space="preserve"> HYPERLINK \l _Toc12917 </w:instrText>
      </w:r>
      <w:r>
        <w:fldChar w:fldCharType="separate"/>
      </w:r>
      <w:r>
        <w:rPr>
          <w:rFonts w:hint="eastAsia"/>
          <w:lang w:val="en-GB"/>
        </w:rPr>
        <w:t xml:space="preserve">4.2 </w:t>
      </w:r>
      <w:r>
        <w:rPr>
          <w:rFonts w:hint="eastAsia"/>
        </w:rPr>
        <w:t>PMV-PPD</w:t>
      </w:r>
      <w:r>
        <w:t>指标</w:t>
      </w:r>
      <w:r>
        <w:rPr>
          <w:rFonts w:hint="eastAsia"/>
        </w:rPr>
        <w:t>计算</w:t>
      </w:r>
      <w:r>
        <w:tab/>
      </w:r>
      <w:r>
        <w:fldChar w:fldCharType="begin"/>
      </w:r>
      <w:r>
        <w:instrText xml:space="preserve"> PAGEREF _Toc12917 \h </w:instrText>
      </w:r>
      <w:r>
        <w:fldChar w:fldCharType="separate"/>
      </w:r>
      <w:r>
        <w:t>8</w:t>
      </w:r>
      <w:r>
        <w:fldChar w:fldCharType="end"/>
      </w:r>
      <w:r>
        <w:fldChar w:fldCharType="end"/>
      </w:r>
    </w:p>
    <w:p w14:paraId="42A21B2F">
      <w:pPr>
        <w:pStyle w:val="15"/>
        <w:tabs>
          <w:tab w:val="right" w:leader="dot" w:pos="8930"/>
          <w:tab w:val="clear" w:pos="900"/>
          <w:tab w:val="clear" w:pos="1260"/>
          <w:tab w:val="clear" w:pos="9360"/>
        </w:tabs>
      </w:pPr>
      <w:r>
        <w:fldChar w:fldCharType="begin"/>
      </w:r>
      <w:r>
        <w:instrText xml:space="preserve"> HYPERLINK \l _Toc16301 </w:instrText>
      </w:r>
      <w:r>
        <w:fldChar w:fldCharType="separate"/>
      </w:r>
      <w:r>
        <w:rPr>
          <w:rFonts w:hint="eastAsia" w:eastAsia="宋体"/>
          <w:szCs w:val="24"/>
          <w:lang w:val="en-GB"/>
        </w:rPr>
        <w:t xml:space="preserve">4.2.1 </w:t>
      </w:r>
      <w:r>
        <w:t>PMV</w:t>
      </w:r>
      <w:r>
        <w:rPr>
          <w:rFonts w:hint="eastAsia"/>
        </w:rPr>
        <w:t>计算公式</w:t>
      </w:r>
      <w:r>
        <w:tab/>
      </w:r>
      <w:r>
        <w:fldChar w:fldCharType="begin"/>
      </w:r>
      <w:r>
        <w:instrText xml:space="preserve"> PAGEREF _Toc16301 \h </w:instrText>
      </w:r>
      <w:r>
        <w:fldChar w:fldCharType="separate"/>
      </w:r>
      <w:r>
        <w:t>9</w:t>
      </w:r>
      <w:r>
        <w:fldChar w:fldCharType="end"/>
      </w:r>
      <w:r>
        <w:fldChar w:fldCharType="end"/>
      </w:r>
    </w:p>
    <w:p w14:paraId="352DF2C3">
      <w:pPr>
        <w:pStyle w:val="15"/>
        <w:tabs>
          <w:tab w:val="right" w:leader="dot" w:pos="8930"/>
          <w:tab w:val="clear" w:pos="900"/>
          <w:tab w:val="clear" w:pos="1260"/>
          <w:tab w:val="clear" w:pos="9360"/>
        </w:tabs>
      </w:pPr>
      <w:r>
        <w:fldChar w:fldCharType="begin"/>
      </w:r>
      <w:r>
        <w:instrText xml:space="preserve"> HYPERLINK \l _Toc29423 </w:instrText>
      </w:r>
      <w:r>
        <w:fldChar w:fldCharType="separate"/>
      </w:r>
      <w:r>
        <w:rPr>
          <w:rFonts w:hint="eastAsia" w:eastAsia="宋体"/>
          <w:szCs w:val="24"/>
          <w:lang w:val="en-GB"/>
        </w:rPr>
        <w:t xml:space="preserve">4.2.2 </w:t>
      </w:r>
      <w:r>
        <w:t>PPD</w:t>
      </w:r>
      <w:r>
        <w:rPr>
          <w:rFonts w:hint="eastAsia"/>
        </w:rPr>
        <w:t>计算公式</w:t>
      </w:r>
      <w:r>
        <w:tab/>
      </w:r>
      <w:r>
        <w:fldChar w:fldCharType="begin"/>
      </w:r>
      <w:r>
        <w:instrText xml:space="preserve"> PAGEREF _Toc29423 \h </w:instrText>
      </w:r>
      <w:r>
        <w:fldChar w:fldCharType="separate"/>
      </w:r>
      <w:r>
        <w:t>9</w:t>
      </w:r>
      <w:r>
        <w:fldChar w:fldCharType="end"/>
      </w:r>
      <w:r>
        <w:fldChar w:fldCharType="end"/>
      </w:r>
    </w:p>
    <w:p w14:paraId="525BBCA4">
      <w:pPr>
        <w:pStyle w:val="15"/>
        <w:tabs>
          <w:tab w:val="right" w:leader="dot" w:pos="8930"/>
          <w:tab w:val="clear" w:pos="900"/>
          <w:tab w:val="clear" w:pos="1260"/>
          <w:tab w:val="clear" w:pos="9360"/>
        </w:tabs>
      </w:pPr>
      <w:r>
        <w:fldChar w:fldCharType="begin"/>
      </w:r>
      <w:r>
        <w:instrText xml:space="preserve"> HYPERLINK \l _Toc4699 </w:instrText>
      </w:r>
      <w:r>
        <w:fldChar w:fldCharType="separate"/>
      </w:r>
      <w:r>
        <w:rPr>
          <w:rFonts w:hint="eastAsia" w:eastAsia="宋体"/>
          <w:szCs w:val="24"/>
          <w:lang w:val="en-GB"/>
        </w:rPr>
        <w:t xml:space="preserve">4.2.3 </w:t>
      </w:r>
      <w:r>
        <w:rPr>
          <w:rFonts w:hint="eastAsia"/>
        </w:rPr>
        <w:t>PMV和PPD达标比例计算</w:t>
      </w:r>
      <w:r>
        <w:tab/>
      </w:r>
      <w:r>
        <w:fldChar w:fldCharType="begin"/>
      </w:r>
      <w:r>
        <w:instrText xml:space="preserve"> PAGEREF _Toc4699 \h </w:instrText>
      </w:r>
      <w:r>
        <w:fldChar w:fldCharType="separate"/>
      </w:r>
      <w:r>
        <w:t>10</w:t>
      </w:r>
      <w:r>
        <w:fldChar w:fldCharType="end"/>
      </w:r>
      <w:r>
        <w:fldChar w:fldCharType="end"/>
      </w:r>
    </w:p>
    <w:p w14:paraId="2A5956B6">
      <w:pPr>
        <w:pStyle w:val="19"/>
        <w:tabs>
          <w:tab w:val="right" w:leader="dot" w:pos="8930"/>
          <w:tab w:val="clear" w:pos="180"/>
          <w:tab w:val="clear" w:pos="420"/>
          <w:tab w:val="clear" w:pos="9360"/>
        </w:tabs>
      </w:pPr>
      <w:r>
        <w:fldChar w:fldCharType="begin"/>
      </w:r>
      <w:r>
        <w:instrText xml:space="preserve"> HYPERLINK \l _Toc27310 </w:instrText>
      </w:r>
      <w:r>
        <w:fldChar w:fldCharType="separate"/>
      </w:r>
      <w:r>
        <w:rPr>
          <w:rFonts w:hint="eastAsia"/>
        </w:rPr>
        <w:t>5 室内热湿环境局部评价</w:t>
      </w:r>
      <w:r>
        <w:t>指标</w:t>
      </w:r>
      <w:r>
        <w:rPr>
          <w:rFonts w:hint="eastAsia"/>
        </w:rPr>
        <w:t>计算方法</w:t>
      </w:r>
      <w:r>
        <w:tab/>
      </w:r>
      <w:r>
        <w:fldChar w:fldCharType="begin"/>
      </w:r>
      <w:r>
        <w:instrText xml:space="preserve"> PAGEREF _Toc27310 \h </w:instrText>
      </w:r>
      <w:r>
        <w:fldChar w:fldCharType="separate"/>
      </w:r>
      <w:r>
        <w:t>10</w:t>
      </w:r>
      <w:r>
        <w:fldChar w:fldCharType="end"/>
      </w:r>
      <w:r>
        <w:fldChar w:fldCharType="end"/>
      </w:r>
    </w:p>
    <w:p w14:paraId="0870DDE6">
      <w:pPr>
        <w:pStyle w:val="15"/>
        <w:tabs>
          <w:tab w:val="right" w:leader="dot" w:pos="8930"/>
          <w:tab w:val="clear" w:pos="900"/>
          <w:tab w:val="clear" w:pos="1260"/>
          <w:tab w:val="clear" w:pos="9360"/>
        </w:tabs>
      </w:pPr>
      <w:r>
        <w:fldChar w:fldCharType="begin"/>
      </w:r>
      <w:r>
        <w:instrText xml:space="preserve"> HYPERLINK \l _Toc22366 </w:instrText>
      </w:r>
      <w:r>
        <w:fldChar w:fldCharType="separate"/>
      </w:r>
      <w:r>
        <w:rPr>
          <w:rFonts w:hint="eastAsia" w:eastAsia="宋体" w:asciiTheme="minorEastAsia" w:hAnsiTheme="minorEastAsia"/>
          <w:szCs w:val="24"/>
          <w:lang w:val="en-GB"/>
        </w:rPr>
        <w:t xml:space="preserve">5.1.1 </w:t>
      </w:r>
      <w:r>
        <w:rPr>
          <w:rFonts w:hint="eastAsia" w:asciiTheme="minorEastAsia" w:hAnsiTheme="minorEastAsia" w:eastAsiaTheme="minorEastAsia"/>
        </w:rPr>
        <w:t>冷吹风感局部不满意率LPD1计算公式</w:t>
      </w:r>
      <w:r>
        <w:tab/>
      </w:r>
      <w:r>
        <w:fldChar w:fldCharType="begin"/>
      </w:r>
      <w:r>
        <w:instrText xml:space="preserve"> PAGEREF _Toc22366 \h </w:instrText>
      </w:r>
      <w:r>
        <w:fldChar w:fldCharType="separate"/>
      </w:r>
      <w:r>
        <w:t>10</w:t>
      </w:r>
      <w:r>
        <w:fldChar w:fldCharType="end"/>
      </w:r>
      <w:r>
        <w:fldChar w:fldCharType="end"/>
      </w:r>
    </w:p>
    <w:p w14:paraId="30D0CD75">
      <w:pPr>
        <w:pStyle w:val="15"/>
        <w:tabs>
          <w:tab w:val="right" w:leader="dot" w:pos="8930"/>
          <w:tab w:val="clear" w:pos="900"/>
          <w:tab w:val="clear" w:pos="1260"/>
          <w:tab w:val="clear" w:pos="9360"/>
        </w:tabs>
      </w:pPr>
      <w:r>
        <w:fldChar w:fldCharType="begin"/>
      </w:r>
      <w:r>
        <w:instrText xml:space="preserve"> HYPERLINK \l _Toc9219 </w:instrText>
      </w:r>
      <w:r>
        <w:fldChar w:fldCharType="separate"/>
      </w:r>
      <w:r>
        <w:rPr>
          <w:rFonts w:hint="eastAsia" w:eastAsia="宋体" w:asciiTheme="minorEastAsia" w:hAnsiTheme="minorEastAsia"/>
          <w:szCs w:val="24"/>
          <w:lang w:val="en-GB"/>
        </w:rPr>
        <w:t xml:space="preserve">5.1.2 </w:t>
      </w:r>
      <w:r>
        <w:rPr>
          <w:rFonts w:hint="eastAsia" w:asciiTheme="minorEastAsia" w:hAnsiTheme="minorEastAsia" w:eastAsiaTheme="minorEastAsia"/>
        </w:rPr>
        <w:t>垂直空气温度差不满意率LPD2计算公式</w:t>
      </w:r>
      <w:r>
        <w:tab/>
      </w:r>
      <w:r>
        <w:fldChar w:fldCharType="begin"/>
      </w:r>
      <w:r>
        <w:instrText xml:space="preserve"> PAGEREF _Toc9219 \h </w:instrText>
      </w:r>
      <w:r>
        <w:fldChar w:fldCharType="separate"/>
      </w:r>
      <w:r>
        <w:t>10</w:t>
      </w:r>
      <w:r>
        <w:fldChar w:fldCharType="end"/>
      </w:r>
      <w:r>
        <w:fldChar w:fldCharType="end"/>
      </w:r>
    </w:p>
    <w:p w14:paraId="4598C687">
      <w:pPr>
        <w:pStyle w:val="15"/>
        <w:tabs>
          <w:tab w:val="right" w:leader="dot" w:pos="8930"/>
          <w:tab w:val="clear" w:pos="900"/>
          <w:tab w:val="clear" w:pos="1260"/>
          <w:tab w:val="clear" w:pos="9360"/>
        </w:tabs>
      </w:pPr>
      <w:r>
        <w:fldChar w:fldCharType="begin"/>
      </w:r>
      <w:r>
        <w:instrText xml:space="preserve"> HYPERLINK \l _Toc27366 </w:instrText>
      </w:r>
      <w:r>
        <w:fldChar w:fldCharType="separate"/>
      </w:r>
      <w:r>
        <w:rPr>
          <w:rFonts w:hint="eastAsia" w:eastAsia="宋体" w:asciiTheme="minorEastAsia" w:hAnsiTheme="minorEastAsia"/>
          <w:szCs w:val="24"/>
          <w:lang w:val="en-GB"/>
        </w:rPr>
        <w:t xml:space="preserve">5.1.3 </w:t>
      </w:r>
      <w:r>
        <w:rPr>
          <w:rFonts w:hint="eastAsia" w:asciiTheme="minorEastAsia" w:hAnsiTheme="minorEastAsia" w:eastAsiaTheme="minorEastAsia"/>
        </w:rPr>
        <w:t>地板表面温度不满意率LPD3计算公式</w:t>
      </w:r>
      <w:r>
        <w:tab/>
      </w:r>
      <w:r>
        <w:fldChar w:fldCharType="begin"/>
      </w:r>
      <w:r>
        <w:instrText xml:space="preserve"> PAGEREF _Toc27366 \h </w:instrText>
      </w:r>
      <w:r>
        <w:fldChar w:fldCharType="separate"/>
      </w:r>
      <w:r>
        <w:t>11</w:t>
      </w:r>
      <w:r>
        <w:fldChar w:fldCharType="end"/>
      </w:r>
      <w:r>
        <w:fldChar w:fldCharType="end"/>
      </w:r>
    </w:p>
    <w:p w14:paraId="11C7F2BC">
      <w:pPr>
        <w:pStyle w:val="19"/>
        <w:tabs>
          <w:tab w:val="right" w:leader="dot" w:pos="8930"/>
          <w:tab w:val="clear" w:pos="180"/>
          <w:tab w:val="clear" w:pos="420"/>
          <w:tab w:val="clear" w:pos="9360"/>
        </w:tabs>
      </w:pPr>
      <w:r>
        <w:fldChar w:fldCharType="begin"/>
      </w:r>
      <w:r>
        <w:instrText xml:space="preserve"> HYPERLINK \l _Toc8437 </w:instrText>
      </w:r>
      <w:r>
        <w:fldChar w:fldCharType="separate"/>
      </w:r>
      <w:r>
        <w:rPr>
          <w:rFonts w:hint="eastAsia"/>
        </w:rPr>
        <w:t>6 结果</w:t>
      </w:r>
      <w:r>
        <w:t>分析</w:t>
      </w:r>
      <w:r>
        <w:tab/>
      </w:r>
      <w:r>
        <w:fldChar w:fldCharType="begin"/>
      </w:r>
      <w:r>
        <w:instrText xml:space="preserve"> PAGEREF _Toc8437 \h </w:instrText>
      </w:r>
      <w:r>
        <w:fldChar w:fldCharType="separate"/>
      </w:r>
      <w:r>
        <w:t>11</w:t>
      </w:r>
      <w:r>
        <w:fldChar w:fldCharType="end"/>
      </w:r>
      <w:r>
        <w:fldChar w:fldCharType="end"/>
      </w:r>
    </w:p>
    <w:p w14:paraId="79A5578F">
      <w:pPr>
        <w:pStyle w:val="20"/>
        <w:tabs>
          <w:tab w:val="right" w:leader="dot" w:pos="8930"/>
          <w:tab w:val="clear" w:pos="540"/>
          <w:tab w:val="clear" w:pos="840"/>
          <w:tab w:val="clear" w:pos="9360"/>
        </w:tabs>
      </w:pPr>
      <w:r>
        <w:fldChar w:fldCharType="begin"/>
      </w:r>
      <w:r>
        <w:instrText xml:space="preserve"> HYPERLINK \l _Toc27408 </w:instrText>
      </w:r>
      <w:r>
        <w:fldChar w:fldCharType="separate"/>
      </w:r>
      <w:r>
        <w:rPr>
          <w:rFonts w:hint="eastAsia"/>
          <w:lang w:val="en-GB"/>
        </w:rPr>
        <w:t xml:space="preserve">6.1 </w:t>
      </w:r>
      <w:r>
        <w:rPr>
          <w:rFonts w:hint="eastAsia"/>
        </w:rPr>
        <w:t>室内热湿环境整体评价指标</w:t>
      </w:r>
      <w:r>
        <w:tab/>
      </w:r>
      <w:r>
        <w:fldChar w:fldCharType="begin"/>
      </w:r>
      <w:r>
        <w:instrText xml:space="preserve"> PAGEREF _Toc27408 \h </w:instrText>
      </w:r>
      <w:r>
        <w:fldChar w:fldCharType="separate"/>
      </w:r>
      <w:r>
        <w:t>11</w:t>
      </w:r>
      <w:r>
        <w:fldChar w:fldCharType="end"/>
      </w:r>
      <w:r>
        <w:fldChar w:fldCharType="end"/>
      </w:r>
    </w:p>
    <w:p w14:paraId="49919FD2">
      <w:pPr>
        <w:pStyle w:val="15"/>
        <w:tabs>
          <w:tab w:val="right" w:leader="dot" w:pos="8930"/>
          <w:tab w:val="clear" w:pos="900"/>
          <w:tab w:val="clear" w:pos="1260"/>
          <w:tab w:val="clear" w:pos="9360"/>
        </w:tabs>
      </w:pPr>
      <w:r>
        <w:fldChar w:fldCharType="begin"/>
      </w:r>
      <w:r>
        <w:instrText xml:space="preserve"> HYPERLINK \l _Toc25242 </w:instrText>
      </w:r>
      <w:r>
        <w:fldChar w:fldCharType="separate"/>
      </w:r>
      <w:r>
        <w:rPr>
          <w:rFonts w:hint="eastAsia" w:eastAsia="宋体"/>
          <w:szCs w:val="24"/>
          <w:lang w:val="en-GB"/>
        </w:rPr>
        <w:t xml:space="preserve">6.1.1 </w:t>
      </w:r>
      <w:r>
        <w:rPr>
          <w:rFonts w:hint="eastAsia"/>
        </w:rPr>
        <w:t>人行高度处分布图</w:t>
      </w:r>
      <w:r>
        <w:tab/>
      </w:r>
      <w:r>
        <w:fldChar w:fldCharType="begin"/>
      </w:r>
      <w:r>
        <w:instrText xml:space="preserve"> PAGEREF _Toc25242 \h </w:instrText>
      </w:r>
      <w:r>
        <w:fldChar w:fldCharType="separate"/>
      </w:r>
      <w:r>
        <w:t>11</w:t>
      </w:r>
      <w:r>
        <w:fldChar w:fldCharType="end"/>
      </w:r>
      <w:r>
        <w:fldChar w:fldCharType="end"/>
      </w:r>
    </w:p>
    <w:p w14:paraId="452D15C1">
      <w:pPr>
        <w:pStyle w:val="15"/>
        <w:tabs>
          <w:tab w:val="right" w:leader="dot" w:pos="8930"/>
          <w:tab w:val="clear" w:pos="900"/>
          <w:tab w:val="clear" w:pos="1260"/>
          <w:tab w:val="clear" w:pos="9360"/>
        </w:tabs>
      </w:pPr>
      <w:r>
        <w:fldChar w:fldCharType="begin"/>
      </w:r>
      <w:r>
        <w:instrText xml:space="preserve"> HYPERLINK \l _Toc27225 </w:instrText>
      </w:r>
      <w:r>
        <w:fldChar w:fldCharType="separate"/>
      </w:r>
      <w:r>
        <w:rPr>
          <w:rFonts w:hint="eastAsia" w:eastAsia="宋体"/>
          <w:szCs w:val="24"/>
          <w:lang w:val="en-GB"/>
        </w:rPr>
        <w:t xml:space="preserve">6.1.2 </w:t>
      </w:r>
      <w:r>
        <w:rPr>
          <w:rFonts w:hint="eastAsia"/>
        </w:rPr>
        <w:t>室内PMV与PPD达标判定</w:t>
      </w:r>
      <w:r>
        <w:tab/>
      </w:r>
      <w:r>
        <w:fldChar w:fldCharType="begin"/>
      </w:r>
      <w:r>
        <w:instrText xml:space="preserve"> PAGEREF _Toc27225 \h </w:instrText>
      </w:r>
      <w:r>
        <w:fldChar w:fldCharType="separate"/>
      </w:r>
      <w:r>
        <w:t>15</w:t>
      </w:r>
      <w:r>
        <w:fldChar w:fldCharType="end"/>
      </w:r>
      <w:r>
        <w:fldChar w:fldCharType="end"/>
      </w:r>
    </w:p>
    <w:p w14:paraId="2304783E">
      <w:pPr>
        <w:pStyle w:val="20"/>
        <w:tabs>
          <w:tab w:val="right" w:leader="dot" w:pos="8930"/>
          <w:tab w:val="clear" w:pos="540"/>
          <w:tab w:val="clear" w:pos="840"/>
          <w:tab w:val="clear" w:pos="9360"/>
        </w:tabs>
      </w:pPr>
      <w:r>
        <w:fldChar w:fldCharType="begin"/>
      </w:r>
      <w:r>
        <w:instrText xml:space="preserve"> HYPERLINK \l _Toc30770 </w:instrText>
      </w:r>
      <w:r>
        <w:fldChar w:fldCharType="separate"/>
      </w:r>
      <w:r>
        <w:rPr>
          <w:rFonts w:hint="eastAsia"/>
          <w:lang w:val="en-GB"/>
        </w:rPr>
        <w:t xml:space="preserve">6.2 </w:t>
      </w:r>
      <w:r>
        <w:rPr>
          <w:rFonts w:hint="eastAsia"/>
        </w:rPr>
        <w:t>室内热湿环境局部评价指标</w:t>
      </w:r>
      <w:r>
        <w:tab/>
      </w:r>
      <w:r>
        <w:fldChar w:fldCharType="begin"/>
      </w:r>
      <w:r>
        <w:instrText xml:space="preserve"> PAGEREF _Toc30770 \h </w:instrText>
      </w:r>
      <w:r>
        <w:fldChar w:fldCharType="separate"/>
      </w:r>
      <w:r>
        <w:t>16</w:t>
      </w:r>
      <w:r>
        <w:fldChar w:fldCharType="end"/>
      </w:r>
      <w:r>
        <w:fldChar w:fldCharType="end"/>
      </w:r>
    </w:p>
    <w:p w14:paraId="06A3EC59">
      <w:pPr>
        <w:pStyle w:val="19"/>
        <w:tabs>
          <w:tab w:val="right" w:leader="dot" w:pos="8930"/>
          <w:tab w:val="clear" w:pos="180"/>
          <w:tab w:val="clear" w:pos="420"/>
          <w:tab w:val="clear" w:pos="9360"/>
        </w:tabs>
      </w:pPr>
      <w:r>
        <w:fldChar w:fldCharType="begin"/>
      </w:r>
      <w:r>
        <w:instrText xml:space="preserve"> HYPERLINK \l _Toc20184 </w:instrText>
      </w:r>
      <w:r>
        <w:fldChar w:fldCharType="separate"/>
      </w:r>
      <w:r>
        <w:rPr>
          <w:rFonts w:hint="eastAsia"/>
        </w:rPr>
        <w:t>7 结论</w:t>
      </w:r>
      <w:r>
        <w:tab/>
      </w:r>
      <w:r>
        <w:fldChar w:fldCharType="begin"/>
      </w:r>
      <w:r>
        <w:instrText xml:space="preserve"> PAGEREF _Toc20184 \h </w:instrText>
      </w:r>
      <w:r>
        <w:fldChar w:fldCharType="separate"/>
      </w:r>
      <w:r>
        <w:t>16</w:t>
      </w:r>
      <w:r>
        <w:fldChar w:fldCharType="end"/>
      </w:r>
      <w:r>
        <w:fldChar w:fldCharType="end"/>
      </w:r>
    </w:p>
    <w:p w14:paraId="5A4D076E">
      <w:pPr>
        <w:pStyle w:val="19"/>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bookmarkEnd w:id="11"/>
    </w:p>
    <w:p w14:paraId="565252D8">
      <w:pPr>
        <w:pStyle w:val="2"/>
      </w:pPr>
      <w:bookmarkStart w:id="12" w:name="_Toc452108759"/>
      <w:bookmarkStart w:id="13" w:name="_Toc16017"/>
      <w:r>
        <w:rPr>
          <w:rFonts w:hint="eastAsia"/>
        </w:rPr>
        <w:t>项目概况</w:t>
      </w:r>
      <w:bookmarkEnd w:id="12"/>
      <w:bookmarkEnd w:id="13"/>
    </w:p>
    <w:p w14:paraId="71B72F3E">
      <w:pPr>
        <w:pStyle w:val="3"/>
        <w:ind w:firstLine="420"/>
        <w:rPr>
          <w:lang w:val="en-US"/>
        </w:rPr>
      </w:pPr>
      <w:bookmarkStart w:id="14" w:name="项目概况"/>
      <w:bookmarkEnd w:id="14"/>
    </w:p>
    <w:p w14:paraId="1061B379">
      <w:pPr>
        <w:pStyle w:val="3"/>
        <w:ind w:firstLine="420"/>
        <w:rPr>
          <w:lang w:val="en-US"/>
        </w:rPr>
      </w:pPr>
    </w:p>
    <w:p w14:paraId="4E9477E8">
      <w:pPr>
        <w:pStyle w:val="3"/>
        <w:ind w:firstLine="420"/>
        <w:rPr>
          <w:lang w:val="en-US"/>
        </w:rPr>
      </w:pPr>
    </w:p>
    <w:p w14:paraId="05AAA1F1">
      <w:pPr>
        <w:pStyle w:val="3"/>
        <w:ind w:firstLine="420"/>
        <w:rPr>
          <w:lang w:val="en-US"/>
        </w:rPr>
        <w:sectPr>
          <w:pgSz w:w="11906" w:h="16838"/>
          <w:pgMar w:top="822" w:right="1134" w:bottom="992" w:left="709" w:header="283" w:footer="170" w:gutter="0"/>
          <w:cols w:space="720" w:num="1"/>
          <w:docGrid w:type="linesAndChars" w:linePitch="312" w:charSpace="0"/>
        </w:sectPr>
      </w:pPr>
    </w:p>
    <w:p w14:paraId="6911728D">
      <w:pPr>
        <w:pStyle w:val="4"/>
      </w:pPr>
      <w:bookmarkStart w:id="15" w:name="_Toc452108760"/>
      <w:bookmarkStart w:id="16" w:name="_Toc24227"/>
      <w:bookmarkStart w:id="17" w:name="平面图2"/>
      <w:r>
        <w:t>平面图</w:t>
      </w:r>
      <w:bookmarkEnd w:id="15"/>
      <w:bookmarkEnd w:id="16"/>
    </w:p>
    <w:p w14:paraId="7C8286F4">
      <w:pPr>
        <w:pStyle w:val="3"/>
        <w:ind w:firstLine="0" w:firstLineChars="0"/>
        <w:jc w:val="center"/>
        <w:rPr>
          <w:lang w:val="en-US"/>
        </w:rPr>
      </w:pPr>
      <w:bookmarkStart w:id="18" w:name="平面图"/>
      <w:bookmarkEnd w:id="18"/>
      <w:r>
        <w:drawing>
          <wp:inline distT="0" distB="0" distL="0" distR="0">
            <wp:extent cx="5667375" cy="426720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10"/>
                    <a:stretch>
                      <a:fillRect/>
                    </a:stretch>
                  </pic:blipFill>
                  <pic:spPr>
                    <a:xfrm>
                      <a:off x="0" y="0"/>
                      <a:ext cx="5667375" cy="4267200"/>
                    </a:xfrm>
                    <a:prstGeom prst="rect">
                      <a:avLst/>
                    </a:prstGeom>
                  </pic:spPr>
                </pic:pic>
              </a:graphicData>
            </a:graphic>
          </wp:inline>
        </w:drawing>
      </w:r>
    </w:p>
    <w:p w14:paraId="18739097">
      <w:pPr>
        <w:pStyle w:val="3"/>
        <w:ind w:firstLine="0" w:firstLineChars="0"/>
        <w:jc w:val="center"/>
        <w:rPr>
          <w:lang w:val="en-US"/>
        </w:rPr>
      </w:pPr>
      <w:r>
        <w:rPr>
          <w:lang w:val="en-US"/>
        </w:rPr>
        <w:t>1层平面</w:t>
      </w:r>
    </w:p>
    <w:p w14:paraId="5A67A8A3">
      <w:pPr>
        <w:pStyle w:val="3"/>
        <w:ind w:firstLine="0" w:firstLineChars="0"/>
        <w:jc w:val="center"/>
        <w:rPr>
          <w:lang w:val="en-US"/>
        </w:rPr>
      </w:pPr>
      <w:r>
        <w:drawing>
          <wp:inline distT="0" distB="0" distL="0" distR="0">
            <wp:extent cx="5667375" cy="452437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11"/>
                    <a:stretch>
                      <a:fillRect/>
                    </a:stretch>
                  </pic:blipFill>
                  <pic:spPr>
                    <a:xfrm>
                      <a:off x="0" y="0"/>
                      <a:ext cx="5667375" cy="4524375"/>
                    </a:xfrm>
                    <a:prstGeom prst="rect">
                      <a:avLst/>
                    </a:prstGeom>
                  </pic:spPr>
                </pic:pic>
              </a:graphicData>
            </a:graphic>
          </wp:inline>
        </w:drawing>
      </w:r>
    </w:p>
    <w:p w14:paraId="7C3E6D1C">
      <w:pPr>
        <w:pStyle w:val="3"/>
        <w:ind w:firstLine="0" w:firstLineChars="0"/>
        <w:jc w:val="center"/>
        <w:rPr>
          <w:lang w:val="en-US"/>
        </w:rPr>
      </w:pPr>
      <w:r>
        <w:rPr>
          <w:lang w:val="en-US"/>
        </w:rPr>
        <w:t>2层平面</w:t>
      </w:r>
    </w:p>
    <w:p w14:paraId="0C627FAB">
      <w:pPr>
        <w:pStyle w:val="3"/>
        <w:ind w:firstLine="0" w:firstLineChars="0"/>
        <w:jc w:val="center"/>
        <w:rPr>
          <w:lang w:val="en-US"/>
        </w:rPr>
      </w:pPr>
    </w:p>
    <w:bookmarkEnd w:id="17"/>
    <w:p w14:paraId="03D23BEE">
      <w:pPr>
        <w:pStyle w:val="3"/>
        <w:ind w:firstLine="0" w:firstLineChars="0"/>
        <w:jc w:val="center"/>
        <w:rPr>
          <w:lang w:val="en-US"/>
        </w:rPr>
      </w:pPr>
    </w:p>
    <w:p w14:paraId="105A13AB">
      <w:pPr>
        <w:pStyle w:val="4"/>
      </w:pPr>
      <w:bookmarkStart w:id="19" w:name="_Toc452108761"/>
      <w:bookmarkStart w:id="20" w:name="_Toc1676"/>
      <w:r>
        <w:rPr>
          <w:rFonts w:hint="eastAsia"/>
        </w:rPr>
        <w:t>三</w:t>
      </w:r>
      <w:r>
        <w:t>维视图</w:t>
      </w:r>
      <w:bookmarkEnd w:id="19"/>
      <w:bookmarkEnd w:id="20"/>
    </w:p>
    <w:p w14:paraId="0C63E892">
      <w:pPr>
        <w:pStyle w:val="3"/>
        <w:ind w:firstLine="0" w:firstLineChars="0"/>
        <w:jc w:val="center"/>
        <w:rPr>
          <w:lang w:val="en-US"/>
        </w:rPr>
      </w:pPr>
      <w:bookmarkStart w:id="21" w:name="三维视图"/>
      <w:bookmarkStart w:id="22" w:name="模型观察"/>
      <w:r>
        <w:t>请先在【模型观察】命令中保存图片</w:t>
      </w:r>
      <w:bookmarkEnd w:id="21"/>
      <w:bookmarkEnd w:id="22"/>
    </w:p>
    <w:p w14:paraId="0E91634B">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779E1799">
      <w:pPr>
        <w:pStyle w:val="2"/>
      </w:pPr>
      <w:bookmarkStart w:id="23" w:name="_Toc452108762"/>
      <w:bookmarkStart w:id="24" w:name="TitleFormat"/>
      <w:bookmarkStart w:id="25" w:name="_Toc22248"/>
      <w:r>
        <w:rPr>
          <w:rFonts w:hint="eastAsia"/>
        </w:rPr>
        <w:t>计算</w:t>
      </w:r>
      <w:r>
        <w:t>依据</w:t>
      </w:r>
      <w:bookmarkEnd w:id="23"/>
      <w:bookmarkEnd w:id="24"/>
      <w:bookmarkEnd w:id="25"/>
    </w:p>
    <w:p w14:paraId="023F752B">
      <w:pPr>
        <w:pStyle w:val="3"/>
        <w:ind w:firstLine="199" w:firstLineChars="95"/>
        <w:rPr>
          <w:lang w:val="en-US"/>
        </w:rPr>
      </w:pPr>
      <w:bookmarkStart w:id="26" w:name="_Toc452108763"/>
      <w:r>
        <w:rPr>
          <w:rFonts w:hint="eastAsia"/>
          <w:lang w:val="en-US"/>
        </w:rPr>
        <w:t>本项目主要参照资料为：</w:t>
      </w:r>
    </w:p>
    <w:p w14:paraId="15FD0108">
      <w:pPr>
        <w:pStyle w:val="3"/>
        <w:numPr>
          <w:ilvl w:val="0"/>
          <w:numId w:val="2"/>
        </w:numPr>
        <w:ind w:left="0" w:firstLine="200" w:firstLineChars="0"/>
        <w:rPr>
          <w:lang w:val="en-US"/>
        </w:rPr>
      </w:pPr>
      <w:r>
        <w:rPr>
          <w:rFonts w:hint="eastAsia"/>
          <w:lang w:val="en-US"/>
        </w:rPr>
        <w:t>《健康建筑评价标准》T-ASC02-2016</w:t>
      </w:r>
    </w:p>
    <w:p w14:paraId="29B85FFB">
      <w:pPr>
        <w:pStyle w:val="3"/>
        <w:numPr>
          <w:ilvl w:val="0"/>
          <w:numId w:val="2"/>
        </w:numPr>
        <w:ind w:left="0" w:firstLine="200" w:firstLineChars="0"/>
        <w:rPr>
          <w:lang w:val="en-US"/>
        </w:rPr>
      </w:pPr>
      <w:bookmarkStart w:id="27" w:name="_Hlk13496340"/>
      <w:r>
        <w:rPr>
          <w:rFonts w:hint="eastAsia"/>
          <w:lang w:val="en-US"/>
        </w:rPr>
        <w:t>《民用建筑室内热湿环境评价标准》</w:t>
      </w:r>
      <w:r>
        <w:rPr>
          <w:lang w:val="en-US"/>
        </w:rPr>
        <w:t>GB/T 50785-2012</w:t>
      </w:r>
    </w:p>
    <w:p w14:paraId="1FF806B3">
      <w:pPr>
        <w:pStyle w:val="3"/>
        <w:numPr>
          <w:ilvl w:val="0"/>
          <w:numId w:val="2"/>
        </w:numPr>
        <w:ind w:left="0" w:firstLine="200" w:firstLineChars="0"/>
        <w:rPr>
          <w:lang w:val="en-US"/>
        </w:rPr>
      </w:pPr>
      <w:r>
        <w:rPr>
          <w:rFonts w:hint="eastAsia"/>
          <w:lang w:val="en-US"/>
        </w:rPr>
        <w:t xml:space="preserve">《热环境人类工效学 </w:t>
      </w:r>
      <w:r>
        <w:rPr>
          <w:lang w:val="en-US"/>
        </w:rPr>
        <w:t xml:space="preserve"> </w:t>
      </w:r>
      <w:r>
        <w:rPr>
          <w:rFonts w:hint="eastAsia"/>
          <w:lang w:val="en-US"/>
        </w:rPr>
        <w:t>通过计算PMV和PPD指数与局部热舒适准则对热舒适进行分析测定与解释》</w:t>
      </w:r>
      <w:r>
        <w:rPr>
          <w:lang w:val="en-US"/>
        </w:rPr>
        <w:t>GB/T18049-2017</w:t>
      </w:r>
    </w:p>
    <w:bookmarkEnd w:id="27"/>
    <w:p w14:paraId="738205AD">
      <w:pPr>
        <w:pStyle w:val="3"/>
        <w:numPr>
          <w:ilvl w:val="0"/>
          <w:numId w:val="2"/>
        </w:numPr>
        <w:ind w:left="0" w:firstLine="200" w:firstLineChars="0"/>
        <w:rPr>
          <w:lang w:val="en-US"/>
        </w:rPr>
      </w:pPr>
      <w:r>
        <w:rPr>
          <w:rFonts w:hint="eastAsia"/>
          <w:lang w:val="en-US"/>
        </w:rPr>
        <w:t>《民用建筑供暖通风与空气调节设计规范》</w:t>
      </w:r>
      <w:r>
        <w:rPr>
          <w:lang w:val="en-US"/>
        </w:rPr>
        <w:t>GB50736-2012</w:t>
      </w:r>
    </w:p>
    <w:p w14:paraId="31356B93">
      <w:pPr>
        <w:pStyle w:val="3"/>
        <w:numPr>
          <w:ilvl w:val="0"/>
          <w:numId w:val="2"/>
        </w:numPr>
        <w:ind w:left="0" w:firstLine="200" w:firstLineChars="0"/>
        <w:rPr>
          <w:lang w:val="en-US"/>
        </w:rPr>
      </w:pPr>
      <w:r>
        <w:rPr>
          <w:rFonts w:hint="eastAsia"/>
          <w:lang w:val="en-US"/>
        </w:rPr>
        <w:t>《民用建筑热工设计规范》</w:t>
      </w:r>
      <w:r>
        <w:rPr>
          <w:lang w:val="en-US"/>
        </w:rPr>
        <w:t>GB 50176-2016</w:t>
      </w:r>
      <w:bookmarkStart w:id="28" w:name="_Hlk13516321"/>
    </w:p>
    <w:bookmarkEnd w:id="28"/>
    <w:p w14:paraId="22BB7318">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2B5CB11B">
      <w:pPr>
        <w:pStyle w:val="3"/>
        <w:numPr>
          <w:ilvl w:val="0"/>
          <w:numId w:val="2"/>
        </w:numPr>
        <w:ind w:left="0" w:firstLine="200" w:firstLineChars="0"/>
        <w:rPr>
          <w:lang w:val="en-US"/>
        </w:rPr>
      </w:pPr>
      <w:r>
        <w:rPr>
          <w:rFonts w:hint="eastAsia"/>
          <w:lang w:val="en-US"/>
        </w:rPr>
        <w:t xml:space="preserve"> 委托方提供的其他相关资料</w:t>
      </w:r>
    </w:p>
    <w:p w14:paraId="1E45607F">
      <w:pPr>
        <w:pStyle w:val="2"/>
      </w:pPr>
      <w:bookmarkStart w:id="29" w:name="_Toc11325"/>
      <w:r>
        <w:rPr>
          <w:rFonts w:hint="eastAsia"/>
        </w:rPr>
        <w:t>参考</w:t>
      </w:r>
      <w:r>
        <w:t>标准</w:t>
      </w:r>
      <w:bookmarkEnd w:id="26"/>
      <w:bookmarkEnd w:id="29"/>
    </w:p>
    <w:p w14:paraId="09EB297A">
      <w:pPr>
        <w:pStyle w:val="3"/>
        <w:ind w:firstLine="420"/>
        <w:rPr>
          <w:lang w:val="en-US"/>
        </w:rPr>
      </w:pPr>
      <w:bookmarkStart w:id="30" w:name="_Toc452108764"/>
      <w:bookmarkStart w:id="31" w:name="_Toc451698935"/>
      <w:r>
        <w:rPr>
          <w:rFonts w:hint="eastAsia"/>
          <w:lang w:val="en-US"/>
        </w:rPr>
        <w:t>室内热湿环境评价的主要依据为《健康建筑评价标准》</w:t>
      </w:r>
      <w:r>
        <w:rPr>
          <w:lang w:val="en-US"/>
        </w:rPr>
        <w:t>T-ASC02-2016</w:t>
      </w:r>
      <w:r>
        <w:rPr>
          <w:rFonts w:hint="eastAsia"/>
          <w:lang w:val="en-US"/>
        </w:rPr>
        <w:t>中6.2.10的要求，具体评分规则如下：</w:t>
      </w:r>
    </w:p>
    <w:p w14:paraId="0FB3FD8F">
      <w:pPr>
        <w:pStyle w:val="30"/>
        <w:ind w:left="143" w:leftChars="68" w:firstLine="422"/>
        <w:rPr>
          <w:sz w:val="21"/>
          <w:szCs w:val="21"/>
        </w:rPr>
      </w:pPr>
      <w:r>
        <w:rPr>
          <w:rFonts w:hint="eastAsia"/>
          <w:b/>
          <w:sz w:val="21"/>
          <w:szCs w:val="21"/>
        </w:rPr>
        <w:t>6.2.10</w:t>
      </w:r>
      <w:r>
        <w:rPr>
          <w:rFonts w:hint="eastAsia"/>
          <w:sz w:val="21"/>
          <w:szCs w:val="21"/>
        </w:rPr>
        <w:t xml:space="preserve"> 室内人工冷热源热湿环境满足现行国家标准《民用建筑室内热湿环境评价标准》GB/T 50785的要求，评价总分值为13分，并按下列规则分别评分并累计：</w:t>
      </w:r>
    </w:p>
    <w:p w14:paraId="556806A1">
      <w:pPr>
        <w:spacing w:line="360" w:lineRule="auto"/>
        <w:ind w:firstLine="422" w:firstLineChars="200"/>
        <w:rPr>
          <w:rFonts w:asciiTheme="minorEastAsia" w:hAnsiTheme="minorEastAsia" w:eastAsiaTheme="minorEastAsia"/>
          <w:szCs w:val="21"/>
        </w:rPr>
      </w:pPr>
      <w:r>
        <w:rPr>
          <w:rFonts w:hint="eastAsia" w:asciiTheme="minorEastAsia" w:hAnsiTheme="minorEastAsia" w:eastAsiaTheme="minorEastAsia"/>
          <w:b/>
          <w:szCs w:val="21"/>
        </w:rPr>
        <w:t xml:space="preserve">1 </w:t>
      </w:r>
      <w:r>
        <w:rPr>
          <w:rFonts w:hint="eastAsia" w:asciiTheme="minorEastAsia" w:hAnsiTheme="minorEastAsia" w:eastAsiaTheme="minorEastAsia"/>
          <w:szCs w:val="21"/>
        </w:rPr>
        <w:t>热湿环境整体评价等级达到Ⅱ级，得4分；达到Ⅰ级，得8分；</w:t>
      </w:r>
    </w:p>
    <w:p w14:paraId="459EC76B">
      <w:pPr>
        <w:pStyle w:val="3"/>
        <w:ind w:left="105" w:leftChars="50" w:firstLine="316" w:firstLineChars="150"/>
      </w:pPr>
      <w:r>
        <w:rPr>
          <w:rFonts w:hint="eastAsia" w:asciiTheme="minorEastAsia" w:hAnsiTheme="minorEastAsia" w:eastAsiaTheme="minorEastAsia"/>
          <w:b/>
        </w:rPr>
        <w:t xml:space="preserve">2 </w:t>
      </w:r>
      <w:r>
        <w:rPr>
          <w:rFonts w:hint="eastAsia" w:asciiTheme="minorEastAsia" w:hAnsiTheme="minorEastAsia" w:eastAsiaTheme="minorEastAsia"/>
        </w:rPr>
        <w:t>室内人工热环境热局部舒适评价冷吹风感引起的局部不满意率（LPD1）、垂直空气温度差引起的局部不满意率（LPD2）和地板表面温度引起的局部不满意率（LPD3）满足Ⅱ级的要求，得</w:t>
      </w:r>
      <w:r>
        <w:rPr>
          <w:rFonts w:asciiTheme="minorEastAsia" w:hAnsiTheme="minorEastAsia" w:eastAsiaTheme="minorEastAsia"/>
        </w:rPr>
        <w:t>3</w:t>
      </w:r>
      <w:r>
        <w:rPr>
          <w:rFonts w:hint="eastAsia" w:asciiTheme="minorEastAsia" w:hAnsiTheme="minorEastAsia" w:eastAsiaTheme="minorEastAsia"/>
        </w:rPr>
        <w:t>分；满足Ⅰ级的要求，得</w:t>
      </w:r>
      <w:r>
        <w:rPr>
          <w:rFonts w:asciiTheme="minorEastAsia" w:hAnsiTheme="minorEastAsia" w:eastAsiaTheme="minorEastAsia"/>
        </w:rPr>
        <w:t>5</w:t>
      </w:r>
      <w:r>
        <w:rPr>
          <w:rFonts w:hint="eastAsia" w:asciiTheme="minorEastAsia" w:hAnsiTheme="minorEastAsia" w:eastAsiaTheme="minorEastAsia"/>
        </w:rPr>
        <w:t>分。</w:t>
      </w:r>
    </w:p>
    <w:bookmarkEnd w:id="30"/>
    <w:bookmarkEnd w:id="31"/>
    <w:p w14:paraId="14030F20">
      <w:pPr>
        <w:pStyle w:val="2"/>
      </w:pPr>
      <w:bookmarkStart w:id="32" w:name="_Toc57236350"/>
      <w:bookmarkStart w:id="33" w:name="_Toc15604"/>
      <w:r>
        <w:rPr>
          <w:rFonts w:hint="eastAsia"/>
        </w:rPr>
        <w:t>室内热湿环境整体评价指标PMV与PPD计算方法</w:t>
      </w:r>
      <w:bookmarkEnd w:id="32"/>
      <w:bookmarkEnd w:id="33"/>
    </w:p>
    <w:p w14:paraId="0282738F">
      <w:pPr>
        <w:pStyle w:val="3"/>
        <w:ind w:firstLine="420"/>
        <w:rPr>
          <w:lang w:val="en-US"/>
        </w:rPr>
      </w:pPr>
      <w:r>
        <w:rPr>
          <w:rFonts w:hint="eastAsia"/>
          <w:lang w:val="en-US"/>
        </w:rPr>
        <w:t>本项目首先采用CFD计算得出室内流速分布和温度分布，进而得出室内热湿环境评价指标分布，并进行达标比例计算，下面依次介绍CFD和室内热湿环境评价指标的计算方法。</w:t>
      </w:r>
    </w:p>
    <w:p w14:paraId="703F2B76">
      <w:pPr>
        <w:pStyle w:val="4"/>
      </w:pPr>
      <w:bookmarkStart w:id="34" w:name="_Toc27864"/>
      <w:r>
        <w:t>CFD</w:t>
      </w:r>
      <w:r>
        <w:rPr>
          <w:rFonts w:hint="eastAsia"/>
        </w:rPr>
        <w:t>计算原理</w:t>
      </w:r>
      <w:bookmarkEnd w:id="34"/>
    </w:p>
    <w:p w14:paraId="776B742E">
      <w:pPr>
        <w:pStyle w:val="5"/>
      </w:pPr>
      <w:bookmarkStart w:id="35" w:name="_Toc14974"/>
      <w:r>
        <w:rPr>
          <w:rFonts w:hint="eastAsia"/>
        </w:rPr>
        <w:t>湍流模型</w:t>
      </w:r>
      <w:bookmarkEnd w:id="35"/>
    </w:p>
    <w:p w14:paraId="3FB14D67">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湍流模型反映了流体流动的状态，在流体力学数值模拟中，不同的流体流动应该选择合适的湍流模型才会最大限度模拟出真实的流场数值。下表为几种工程流体中常见的湍流模型适用性：</w:t>
      </w:r>
    </w:p>
    <w:p w14:paraId="3ABC112C">
      <w:pPr>
        <w:pStyle w:val="3"/>
        <w:spacing w:after="156" w:afterLines="50"/>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t xml:space="preserve">-1  </w:t>
      </w:r>
      <w:r>
        <w:rPr>
          <w:rFonts w:hint="eastAsia" w:ascii="微软雅黑" w:hAnsi="微软雅黑" w:eastAsia="微软雅黑"/>
          <w:b/>
        </w:rPr>
        <w:t>常用湍流模型适用范围</w:t>
      </w:r>
    </w:p>
    <w:tbl>
      <w:tblPr>
        <w:tblStyle w:val="21"/>
        <w:tblW w:w="0" w:type="auto"/>
        <w:tblInd w:w="93" w:type="dxa"/>
        <w:tblLayout w:type="fixed"/>
        <w:tblCellMar>
          <w:top w:w="0" w:type="dxa"/>
          <w:left w:w="108" w:type="dxa"/>
          <w:bottom w:w="0" w:type="dxa"/>
          <w:right w:w="108" w:type="dxa"/>
        </w:tblCellMar>
      </w:tblPr>
      <w:tblGrid>
        <w:gridCol w:w="2640"/>
        <w:gridCol w:w="6760"/>
      </w:tblGrid>
      <w:tr w14:paraId="2D4C6B0B">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74E5099F">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0ACA07A7">
            <w:pPr>
              <w:jc w:val="center"/>
              <w:rPr>
                <w:rFonts w:ascii="宋体" w:hAnsi="宋体" w:cs="宋体"/>
                <w:b/>
                <w:bCs/>
                <w:szCs w:val="21"/>
              </w:rPr>
            </w:pPr>
            <w:r>
              <w:rPr>
                <w:rFonts w:hint="eastAsia" w:ascii="宋体" w:hAnsi="宋体" w:cs="宋体"/>
                <w:b/>
                <w:bCs/>
                <w:szCs w:val="21"/>
              </w:rPr>
              <w:t>特点和适用工况</w:t>
            </w:r>
          </w:p>
        </w:tc>
      </w:tr>
      <w:tr w14:paraId="5A4AE4FC">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5555BC7B">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53EDE2F6">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00D73D9D">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53F3CB34">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FD1C773">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0E1449BA">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3FBA467C">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1BED3017">
            <w:pPr>
              <w:rPr>
                <w:rFonts w:ascii="宋体" w:hAnsi="宋体" w:cs="宋体"/>
                <w:szCs w:val="21"/>
              </w:rPr>
            </w:pPr>
            <w:r>
              <w:rPr>
                <w:rFonts w:hint="eastAsia" w:ascii="宋体" w:hAnsi="宋体" w:cs="宋体"/>
                <w:szCs w:val="21"/>
              </w:rPr>
              <w:t>旋转流动、强逆压梯度的边界层流动、流动分离和二次流，类似于RNG</w:t>
            </w:r>
          </w:p>
        </w:tc>
      </w:tr>
    </w:tbl>
    <w:p w14:paraId="01F1C7F4">
      <w:pPr>
        <w:pStyle w:val="5"/>
        <w:tabs>
          <w:tab w:val="left" w:pos="360"/>
        </w:tabs>
        <w:ind w:left="0" w:firstLine="0"/>
      </w:pPr>
      <w:bookmarkStart w:id="36" w:name="_Toc451698938"/>
      <w:bookmarkStart w:id="37" w:name="_Toc452108766"/>
      <w:bookmarkStart w:id="38" w:name="_Toc8151"/>
      <w:bookmarkStart w:id="39" w:name="_Toc28488"/>
      <w:r>
        <w:rPr>
          <w:rFonts w:hint="eastAsia"/>
        </w:rPr>
        <w:t>边界条件</w:t>
      </w:r>
      <w:bookmarkEnd w:id="36"/>
      <w:bookmarkEnd w:id="37"/>
      <w:bookmarkEnd w:id="38"/>
      <w:bookmarkEnd w:id="39"/>
    </w:p>
    <w:p w14:paraId="69777131">
      <w:pPr>
        <w:tabs>
          <w:tab w:val="left" w:pos="180"/>
        </w:tabs>
        <w:spacing w:line="400" w:lineRule="atLeast"/>
        <w:ind w:left="-19" w:leftChars="-9" w:firstLine="250"/>
        <w:rPr>
          <w:szCs w:val="21"/>
        </w:rPr>
      </w:pPr>
      <w:r>
        <w:rPr>
          <w:rFonts w:hint="eastAsia"/>
          <w:b/>
          <w:szCs w:val="21"/>
        </w:rPr>
        <w:t xml:space="preserve"> </w:t>
      </w:r>
      <w:r>
        <w:rPr>
          <w:b/>
          <w:szCs w:val="21"/>
        </w:rPr>
        <w:t xml:space="preserve"> </w:t>
      </w:r>
      <w:r>
        <w:rPr>
          <w:rFonts w:hint="eastAsia"/>
          <w:b/>
          <w:szCs w:val="21"/>
        </w:rPr>
        <w:t>围护结构</w:t>
      </w:r>
      <w:r>
        <w:rPr>
          <w:rFonts w:hint="eastAsia"/>
          <w:szCs w:val="21"/>
        </w:rPr>
        <w:t xml:space="preserve">：外围护结构采用传热系数作为边界条件，内围护结构根据实际情况可选择传热系数 </w:t>
      </w:r>
      <w:r>
        <w:rPr>
          <w:szCs w:val="21"/>
        </w:rPr>
        <w:t xml:space="preserve">  </w:t>
      </w:r>
      <w:r>
        <w:rPr>
          <w:rFonts w:hint="eastAsia"/>
          <w:szCs w:val="21"/>
        </w:rPr>
        <w:t>或者绝热边界条件；</w:t>
      </w:r>
    </w:p>
    <w:p w14:paraId="372B554A">
      <w:pPr>
        <w:spacing w:line="400" w:lineRule="atLeast"/>
        <w:ind w:firstLine="435"/>
        <w:rPr>
          <w:szCs w:val="21"/>
        </w:rPr>
      </w:pPr>
      <w:r>
        <w:rPr>
          <w:rFonts w:hint="eastAsia"/>
          <w:b/>
          <w:szCs w:val="21"/>
        </w:rPr>
        <w:t>送风口</w:t>
      </w:r>
      <w:r>
        <w:rPr>
          <w:rFonts w:hint="eastAsia"/>
          <w:szCs w:val="21"/>
        </w:rPr>
        <w:t>：采用温度和风速作为边界条件；</w:t>
      </w:r>
    </w:p>
    <w:p w14:paraId="31CA23E0">
      <w:pPr>
        <w:spacing w:line="400" w:lineRule="atLeast"/>
        <w:ind w:firstLine="435"/>
        <w:rPr>
          <w:szCs w:val="21"/>
        </w:rPr>
      </w:pPr>
      <w:r>
        <w:rPr>
          <w:rFonts w:hint="eastAsia"/>
          <w:b/>
          <w:szCs w:val="21"/>
        </w:rPr>
        <w:t>回风口</w:t>
      </w:r>
      <w:r>
        <w:rPr>
          <w:rFonts w:hint="eastAsia"/>
          <w:szCs w:val="21"/>
        </w:rPr>
        <w:t>：采用绝热和定压边界条件；</w:t>
      </w:r>
    </w:p>
    <w:p w14:paraId="199E78D4">
      <w:pPr>
        <w:spacing w:line="400" w:lineRule="atLeast"/>
        <w:rPr>
          <w:szCs w:val="21"/>
        </w:rPr>
      </w:pPr>
    </w:p>
    <w:p w14:paraId="49BC31B5">
      <w:pPr>
        <w:spacing w:line="240" w:lineRule="auto"/>
        <w:rPr>
          <w:rFonts w:ascii="黑体" w:hAnsi="黑体" w:eastAsia="黑体"/>
          <w:szCs w:val="21"/>
        </w:rPr>
      </w:pPr>
      <w:r>
        <w:rPr>
          <w:rFonts w:hint="eastAsia" w:ascii="黑体" w:hAnsi="黑体" w:eastAsia="黑体"/>
          <w:szCs w:val="21"/>
        </w:rPr>
        <w:t>注：围护结构传热系数选取依据《民用建筑热工设计规范》等相关的建筑热工设计规范，空调送风口温度和风速选取依据《民用建筑供暖通风与空气调节设计规范》</w:t>
      </w:r>
      <w:r>
        <w:rPr>
          <w:rFonts w:ascii="黑体" w:hAnsi="黑体" w:eastAsia="黑体"/>
          <w:szCs w:val="21"/>
        </w:rPr>
        <w:t>GB50736-2012</w:t>
      </w:r>
      <w:r>
        <w:rPr>
          <w:rFonts w:hint="eastAsia" w:ascii="黑体" w:hAnsi="黑体" w:eastAsia="黑体"/>
          <w:szCs w:val="21"/>
        </w:rPr>
        <w:t xml:space="preserve">相关条款。 </w:t>
      </w:r>
    </w:p>
    <w:p w14:paraId="25EC9BE6">
      <w:pPr>
        <w:pStyle w:val="5"/>
        <w:tabs>
          <w:tab w:val="left" w:pos="360"/>
        </w:tabs>
        <w:ind w:left="0" w:firstLine="0"/>
      </w:pPr>
      <w:bookmarkStart w:id="40" w:name="_Toc452108767"/>
      <w:bookmarkStart w:id="41" w:name="_Toc451698939"/>
      <w:bookmarkStart w:id="42" w:name="_Toc23583"/>
      <w:bookmarkStart w:id="43" w:name="_Toc5802"/>
      <w:r>
        <w:rPr>
          <w:rFonts w:hint="eastAsia"/>
        </w:rPr>
        <w:t>求解计算</w:t>
      </w:r>
      <w:bookmarkEnd w:id="40"/>
      <w:bookmarkEnd w:id="41"/>
      <w:bookmarkEnd w:id="42"/>
      <w:bookmarkEnd w:id="43"/>
    </w:p>
    <w:p w14:paraId="4D15FE37">
      <w:pPr>
        <w:pStyle w:val="3"/>
        <w:numPr>
          <w:ilvl w:val="0"/>
          <w:numId w:val="3"/>
        </w:numPr>
        <w:ind w:left="0" w:firstLine="0" w:firstLineChars="0"/>
        <w:rPr>
          <w:b/>
          <w:lang w:val="en-US"/>
        </w:rPr>
      </w:pPr>
      <w:r>
        <w:rPr>
          <w:rFonts w:hint="eastAsia"/>
          <w:b/>
          <w:lang w:val="en-US"/>
        </w:rPr>
        <w:t>数学模型</w:t>
      </w:r>
    </w:p>
    <w:p w14:paraId="44F145EA">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3192B8D0">
      <w:pPr>
        <w:pStyle w:val="3"/>
        <w:ind w:firstLine="525" w:firstLineChars="250"/>
        <w:jc w:val="center"/>
        <w:rPr>
          <w:lang w:val="en-US"/>
        </w:rPr>
      </w:pPr>
      <w:r>
        <w:rPr>
          <w:lang w:val="en-US"/>
        </w:rPr>
        <w:drawing>
          <wp:inline distT="0" distB="0" distL="0" distR="0">
            <wp:extent cx="2381250" cy="400050"/>
            <wp:effectExtent l="0" t="0" r="0" b="0"/>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81B84E4">
      <w:pPr>
        <w:pStyle w:val="3"/>
        <w:ind w:firstLine="525" w:firstLineChars="250"/>
        <w:rPr>
          <w:lang w:val="en-US"/>
        </w:rPr>
      </w:pPr>
      <w:r>
        <w:rPr>
          <w:rFonts w:hint="eastAsia"/>
          <w:lang w:val="en-US"/>
        </w:rPr>
        <w:t>该式中的φ可以是速度、湍流动能、湍流耗散率以及温度等物理量，参照下表</w:t>
      </w:r>
    </w:p>
    <w:p w14:paraId="588BEAE1">
      <w:pPr>
        <w:pStyle w:val="3"/>
        <w:ind w:firstLine="0" w:firstLineChars="0"/>
        <w:jc w:val="center"/>
        <w:rPr>
          <w:rFonts w:ascii="微软雅黑" w:hAnsi="微软雅黑" w:eastAsia="微软雅黑"/>
          <w:b/>
        </w:rPr>
      </w:pPr>
      <w:bookmarkStart w:id="44" w:name="_Ref237071533"/>
      <w:r>
        <w:rPr>
          <w:rFonts w:hint="eastAsia" w:ascii="微软雅黑" w:hAnsi="微软雅黑" w:eastAsia="微软雅黑"/>
          <w:b/>
        </w:rPr>
        <w:t>表</w:t>
      </w:r>
      <w:r>
        <w:rPr>
          <w:rFonts w:ascii="微软雅黑" w:hAnsi="微软雅黑" w:eastAsia="微软雅黑"/>
          <w:b/>
        </w:rPr>
        <w:t xml:space="preserve"> </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4.1</w:t>
      </w:r>
      <w:r>
        <w:rPr>
          <w:rFonts w:ascii="微软雅黑" w:hAnsi="微软雅黑" w:eastAsia="微软雅黑"/>
          <w:b/>
        </w:rPr>
        <w:fldChar w:fldCharType="end"/>
      </w:r>
      <w:r>
        <w:rPr>
          <w:rFonts w:ascii="微软雅黑" w:hAnsi="微软雅黑" w:eastAsia="微软雅黑"/>
          <w:b/>
        </w:rPr>
        <w:noBreakHyphen/>
      </w:r>
      <w:r>
        <w:rPr>
          <w:rFonts w:ascii="微软雅黑" w:hAnsi="微软雅黑" w:eastAsia="微软雅黑"/>
          <w:b/>
        </w:rPr>
        <w:t>2</w:t>
      </w:r>
      <w:bookmarkEnd w:id="44"/>
      <w:r>
        <w:rPr>
          <w:rFonts w:hint="eastAsia" w:ascii="微软雅黑" w:hAnsi="微软雅黑" w:eastAsia="微软雅黑"/>
          <w:b/>
        </w:rPr>
        <w:t xml:space="preserve"> </w:t>
      </w:r>
      <w:bookmarkStart w:id="45" w:name="_Ref225175618"/>
      <w:r>
        <w:rPr>
          <w:rFonts w:hint="eastAsia" w:ascii="微软雅黑" w:hAnsi="微软雅黑" w:eastAsia="微软雅黑"/>
          <w:b/>
        </w:rPr>
        <w:t>计算流体力学的控制方程</w:t>
      </w:r>
      <w:bookmarkEnd w:id="45"/>
    </w:p>
    <w:tbl>
      <w:tblPr>
        <w:tblStyle w:val="21"/>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0B2E0C89">
        <w:tblPrEx>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3322FD46">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3A7DCFD8">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A3775FE">
            <w:pPr>
              <w:widowControl w:val="0"/>
              <w:jc w:val="both"/>
              <w:rPr>
                <w:rFonts w:cs="Calibri"/>
                <w:kern w:val="2"/>
                <w:szCs w:val="24"/>
              </w:rPr>
            </w:pPr>
            <w:r>
              <w:rPr>
                <w:position w:val="-14"/>
                <w:szCs w:val="24"/>
                <w:lang w:val="en-US"/>
              </w:rPr>
              <w:drawing>
                <wp:inline distT="0" distB="0" distL="0" distR="0">
                  <wp:extent cx="180975" cy="238125"/>
                  <wp:effectExtent l="0" t="0" r="9525" b="9525"/>
                  <wp:docPr id="5"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432FD922">
            <w:pPr>
              <w:widowControl w:val="0"/>
              <w:jc w:val="both"/>
              <w:rPr>
                <w:rFonts w:cs="Calibri"/>
                <w:kern w:val="2"/>
                <w:szCs w:val="24"/>
              </w:rPr>
            </w:pPr>
            <w:r>
              <w:rPr>
                <w:position w:val="-14"/>
                <w:szCs w:val="24"/>
                <w:lang w:val="en-US"/>
              </w:rPr>
              <w:drawing>
                <wp:inline distT="0" distB="0" distL="0" distR="0">
                  <wp:extent cx="190500" cy="238125"/>
                  <wp:effectExtent l="0" t="0" r="0" b="9525"/>
                  <wp:docPr id="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07387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6DDDB26">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175BEA0B">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B13CBD2">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606C1DC3">
            <w:pPr>
              <w:widowControl w:val="0"/>
              <w:jc w:val="both"/>
              <w:rPr>
                <w:rFonts w:cs="Calibri"/>
                <w:kern w:val="2"/>
                <w:szCs w:val="24"/>
              </w:rPr>
            </w:pPr>
            <w:r>
              <w:rPr>
                <w:szCs w:val="24"/>
              </w:rPr>
              <w:t>0</w:t>
            </w:r>
          </w:p>
        </w:tc>
      </w:tr>
      <w:tr w14:paraId="0C0BB8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3C0BF43C">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0CB873B">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7"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F41B24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8"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5444451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9"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7F1358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3220676">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55D776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299CEA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1"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8722E20">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2"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0A5CB2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9F88C23">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7D96452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3"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5AF23B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4"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A605C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5"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42D37A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3FF91C9">
            <w:pPr>
              <w:rPr>
                <w:rFonts w:cs="Calibri"/>
                <w:kern w:val="2"/>
                <w:szCs w:val="24"/>
              </w:rPr>
            </w:pPr>
            <w:r>
              <w:rPr>
                <w:rFonts w:hint="eastAsia"/>
                <w:szCs w:val="24"/>
              </w:rPr>
              <w:t>湍流</w:t>
            </w:r>
          </w:p>
          <w:p w14:paraId="5A2D4E68">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0AA2FEE4">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6"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29E91E0">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7"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0578156">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8"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3340B61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FCED67F">
            <w:pPr>
              <w:rPr>
                <w:rFonts w:cs="Calibri"/>
                <w:kern w:val="2"/>
                <w:szCs w:val="24"/>
              </w:rPr>
            </w:pPr>
            <w:r>
              <w:rPr>
                <w:rFonts w:hint="eastAsia"/>
                <w:szCs w:val="24"/>
              </w:rPr>
              <w:t>湍流</w:t>
            </w:r>
          </w:p>
          <w:p w14:paraId="5A509F97">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0145470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9"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7A29B55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0"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C34013">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1"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3A7188F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21E9144D">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40CA9AF1">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2"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26E37144">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4271713D">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4"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4663B0A1">
      <w:pPr>
        <w:pStyle w:val="3"/>
        <w:ind w:firstLine="525" w:firstLineChars="250"/>
        <w:rPr>
          <w:lang w:val="en-US"/>
        </w:rPr>
      </w:pPr>
      <w:r>
        <w:rPr>
          <w:rFonts w:hint="eastAsia"/>
          <w:lang w:val="en-US"/>
        </w:rPr>
        <w:t>上表中的常数如下：</w:t>
      </w:r>
    </w:p>
    <w:p w14:paraId="45600BEF">
      <w:pPr>
        <w:pStyle w:val="3"/>
        <w:ind w:left="450" w:firstLine="73" w:firstLineChars="35"/>
        <w:rPr>
          <w:lang w:val="en-US"/>
        </w:rPr>
      </w:pPr>
      <w:r>
        <w:rPr>
          <w:lang w:val="en-US"/>
        </w:rPr>
        <w:drawing>
          <wp:inline distT="0" distB="0" distL="0" distR="0">
            <wp:extent cx="657225" cy="238125"/>
            <wp:effectExtent l="0" t="0" r="9525" b="9525"/>
            <wp:docPr id="25"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6"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7"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8"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29"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0"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1"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2"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3"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4"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5"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6"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7"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2613BECE">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8"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39"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0"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AD424D4">
      <w:pPr>
        <w:pStyle w:val="3"/>
        <w:ind w:firstLine="525" w:firstLineChars="250"/>
        <w:rPr>
          <w:lang w:val="en-US"/>
        </w:rPr>
      </w:pPr>
      <w:r>
        <w:rPr>
          <w:lang w:val="en-US"/>
        </w:rPr>
        <w:drawing>
          <wp:inline distT="0" distB="0" distL="0" distR="0">
            <wp:extent cx="1704975" cy="457200"/>
            <wp:effectExtent l="0" t="0" r="9525" b="0"/>
            <wp:docPr id="41"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2"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4"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1CD39A2">
      <w:pPr>
        <w:pStyle w:val="3"/>
        <w:numPr>
          <w:ilvl w:val="0"/>
          <w:numId w:val="3"/>
        </w:numPr>
        <w:ind w:firstLineChars="0"/>
        <w:rPr>
          <w:b/>
          <w:lang w:val="en-US"/>
        </w:rPr>
      </w:pPr>
      <w:r>
        <w:rPr>
          <w:rFonts w:hint="eastAsia"/>
          <w:b/>
          <w:lang w:val="en-US"/>
        </w:rPr>
        <w:t>差分格式</w:t>
      </w:r>
    </w:p>
    <w:p w14:paraId="782C5065">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46388885">
      <w:pPr>
        <w:pStyle w:val="4"/>
      </w:pPr>
      <w:bookmarkStart w:id="46" w:name="_Toc12917"/>
      <w:r>
        <w:rPr>
          <w:rFonts w:hint="eastAsia"/>
        </w:rPr>
        <w:t>PMV-PPD</w:t>
      </w:r>
      <w:r>
        <w:t>指标</w:t>
      </w:r>
      <w:r>
        <w:rPr>
          <w:rFonts w:hint="eastAsia"/>
        </w:rPr>
        <w:t>计算</w:t>
      </w:r>
      <w:bookmarkEnd w:id="46"/>
    </w:p>
    <w:p w14:paraId="04024C60">
      <w:pPr>
        <w:pStyle w:val="3"/>
        <w:ind w:firstLine="420"/>
        <w:rPr>
          <w:lang w:val="zh-CN"/>
        </w:rPr>
      </w:pPr>
      <w:r>
        <w:rPr>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lang w:val="zh-CN"/>
        </w:rPr>
        <w:t>。</w:t>
      </w:r>
    </w:p>
    <w:p w14:paraId="066EEB17">
      <w:pPr>
        <w:pStyle w:val="3"/>
        <w:ind w:firstLine="420"/>
        <w:rPr>
          <w:lang w:val="en-US"/>
        </w:rPr>
      </w:pPr>
      <w:r>
        <w:rPr>
          <w:rFonts w:hint="eastAsia"/>
          <w:lang w:val="en-US"/>
        </w:rPr>
        <w:t>预计平均热感觉指标</w:t>
      </w:r>
      <w:r>
        <w:rPr>
          <w:lang w:val="en-US"/>
        </w:rPr>
        <w:t>PMV</w:t>
      </w:r>
      <w:r>
        <w:rPr>
          <w:rFonts w:hint="eastAsia"/>
          <w:lang w:val="en-US"/>
        </w:rPr>
        <w:t>（Pre</w:t>
      </w:r>
      <w:r>
        <w:rPr>
          <w:lang w:val="en-US"/>
        </w:rPr>
        <w:t>dict mean vote</w:t>
      </w:r>
      <w:r>
        <w:rPr>
          <w:rFonts w:hint="eastAsia"/>
          <w:lang w:val="en-US"/>
        </w:rPr>
        <w:t>）为人群对热感觉等级投票的平均指数，根据人体热平衡的基本方程式以及心理和生理主观热感觉的等级为出发点，考虑了人体热舒适感的各种相关因素的全面评价指标。</w:t>
      </w:r>
      <w:bookmarkStart w:id="47" w:name="_Hlk13601794"/>
      <w:r>
        <w:rPr>
          <w:rFonts w:hint="eastAsia"/>
          <w:lang w:val="en-US"/>
        </w:rPr>
        <w:t>本项目采用《民用建筑室内热湿环境评价标准》GB/T 50785-2012中所示的计算程序完成上述PMV的计算。</w:t>
      </w:r>
    </w:p>
    <w:p w14:paraId="0C973C57">
      <w:pPr>
        <w:pStyle w:val="5"/>
      </w:pPr>
      <w:bookmarkStart w:id="48" w:name="_Toc16301"/>
      <w:r>
        <w:t>PMV</w:t>
      </w:r>
      <w:r>
        <w:rPr>
          <w:rFonts w:hint="eastAsia"/>
        </w:rPr>
        <w:t>计算公式</w:t>
      </w:r>
      <w:bookmarkEnd w:id="48"/>
    </w:p>
    <w:bookmarkEnd w:id="47"/>
    <w:p w14:paraId="23AF4118">
      <w:pPr>
        <w:pStyle w:val="3"/>
        <w:ind w:left="210" w:leftChars="100" w:firstLine="210" w:firstLineChars="100"/>
        <w:rPr>
          <w:lang w:val="en-US"/>
        </w:rPr>
      </w:pPr>
      <w:r>
        <w:rPr>
          <w:lang w:val="en-US"/>
        </w:rPr>
        <w:t xml:space="preserve">   </w:t>
      </w:r>
      <w:r>
        <w:rPr>
          <w:rFonts w:hint="eastAsia"/>
          <w:lang w:val="en-US"/>
        </w:rPr>
        <w:t xml:space="preserve"> </w:t>
      </w:r>
      <w:r>
        <w:rPr>
          <w:lang w:val="en-US"/>
        </w:rPr>
        <w:t xml:space="preserve"> </w:t>
      </w:r>
      <w:r>
        <w:rPr>
          <w:lang w:val="en-US"/>
        </w:rPr>
        <w:drawing>
          <wp:inline distT="0" distB="0" distL="0" distR="0">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52">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367567C9">
      <w:pPr>
        <w:pStyle w:val="3"/>
        <w:ind w:firstLine="630" w:firstLineChars="300"/>
        <w:rPr>
          <w:lang w:val="en-US"/>
        </w:rPr>
      </w:pPr>
      <w:r>
        <w:rPr>
          <w:rFonts w:hint="eastAsia"/>
          <w:lang w:val="en-US"/>
        </w:rPr>
        <w:t>式中：</w:t>
      </w:r>
    </w:p>
    <w:p w14:paraId="4817831A">
      <w:pPr>
        <w:pStyle w:val="3"/>
        <w:ind w:firstLine="630" w:firstLineChars="300"/>
        <w:rPr>
          <w:lang w:val="en-US"/>
        </w:rPr>
      </w:pPr>
      <w:r>
        <w:rPr>
          <w:lang w:val="en-US"/>
        </w:rPr>
        <w:t>PMV——</w:t>
      </w:r>
      <w:r>
        <w:rPr>
          <w:rFonts w:hint="eastAsia"/>
          <w:lang w:val="en-US"/>
        </w:rPr>
        <w:t>预计平均热感觉指数；</w:t>
      </w:r>
    </w:p>
    <w:p w14:paraId="6AD57E5E">
      <w:pPr>
        <w:pStyle w:val="3"/>
        <w:ind w:firstLine="630" w:firstLineChars="300"/>
        <w:rPr>
          <w:lang w:val="en-US"/>
        </w:rPr>
      </w:pPr>
      <w:r>
        <w:rPr>
          <w:lang w:val="en-US"/>
        </w:rPr>
        <w:t>M  ——</w:t>
      </w:r>
      <w:r>
        <w:rPr>
          <w:rFonts w:hint="eastAsia"/>
          <w:lang w:val="en-US"/>
        </w:rPr>
        <w:t>代谢率（W</w:t>
      </w:r>
      <w:r>
        <w:rPr>
          <w:lang w:val="en-US"/>
        </w:rPr>
        <w:t>/m</w:t>
      </w:r>
      <w:r>
        <w:rPr>
          <w:vertAlign w:val="superscript"/>
          <w:lang w:val="en-US"/>
        </w:rPr>
        <w:t>2</w:t>
      </w:r>
      <w:r>
        <w:rPr>
          <w:rFonts w:hint="eastAsia"/>
          <w:lang w:val="en-US"/>
        </w:rPr>
        <w:t>），参考附录B不同活动的代谢率；</w:t>
      </w:r>
    </w:p>
    <w:p w14:paraId="470D2A3E">
      <w:pPr>
        <w:pStyle w:val="3"/>
        <w:ind w:firstLine="630" w:firstLineChars="300"/>
        <w:rPr>
          <w:lang w:val="en-US"/>
        </w:rPr>
      </w:pPr>
      <w:r>
        <w:rPr>
          <w:lang w:val="en-US"/>
        </w:rPr>
        <w:t>W  ——</w:t>
      </w:r>
      <w:r>
        <w:rPr>
          <w:rFonts w:hint="eastAsia"/>
          <w:lang w:val="en-US"/>
        </w:rPr>
        <w:t>有效机械功率（W</w:t>
      </w:r>
      <w:r>
        <w:rPr>
          <w:lang w:val="en-US"/>
        </w:rPr>
        <w:t>/m</w:t>
      </w:r>
      <w:r>
        <w:rPr>
          <w:vertAlign w:val="superscript"/>
          <w:lang w:val="en-US"/>
        </w:rPr>
        <w:t>2</w:t>
      </w:r>
      <w:r>
        <w:rPr>
          <w:rFonts w:hint="eastAsia"/>
          <w:lang w:val="en-US"/>
        </w:rPr>
        <w:t>），通常情况下可近似为零；</w:t>
      </w:r>
    </w:p>
    <w:p w14:paraId="02B42D49">
      <w:pPr>
        <w:pStyle w:val="3"/>
        <w:ind w:firstLine="630" w:firstLineChars="300"/>
        <w:rPr>
          <w:lang w:val="en-US"/>
        </w:rPr>
      </w:pPr>
      <w:r>
        <w:rPr>
          <w:rFonts w:hint="eastAsia"/>
          <w:i/>
          <w:iCs/>
          <w:lang w:val="en-US"/>
        </w:rPr>
        <w:t>l</w:t>
      </w:r>
      <w:r>
        <w:rPr>
          <w:vertAlign w:val="subscript"/>
          <w:lang w:val="en-US"/>
        </w:rPr>
        <w:t xml:space="preserve">cl   </w:t>
      </w:r>
      <w:r>
        <w:rPr>
          <w:lang w:val="en-US"/>
        </w:rPr>
        <w:t>——</w:t>
      </w:r>
      <w:r>
        <w:rPr>
          <w:rFonts w:hint="eastAsia"/>
          <w:lang w:val="en-US"/>
        </w:rPr>
        <w:t>服装热阻（m</w:t>
      </w:r>
      <w:r>
        <w:rPr>
          <w:vertAlign w:val="superscript"/>
          <w:lang w:val="en-US"/>
        </w:rPr>
        <w:t>2</w:t>
      </w:r>
      <w:r>
        <w:rPr>
          <w:lang w:val="en-US"/>
        </w:rPr>
        <w:t>∙K/W</w:t>
      </w:r>
      <w:r>
        <w:rPr>
          <w:rFonts w:hint="eastAsia"/>
          <w:lang w:val="en-US"/>
        </w:rPr>
        <w:t>），参考附录C服装组合热阻估算；</w:t>
      </w:r>
    </w:p>
    <w:p w14:paraId="0CF2BC0A">
      <w:pPr>
        <w:pStyle w:val="3"/>
        <w:ind w:firstLine="630" w:firstLineChars="300"/>
        <w:rPr>
          <w:lang w:val="en-US"/>
        </w:rPr>
      </w:pPr>
      <w:r>
        <w:rPr>
          <w:i/>
          <w:iCs/>
          <w:lang w:val="en-US"/>
        </w:rPr>
        <w:t>f</w:t>
      </w:r>
      <w:r>
        <w:rPr>
          <w:vertAlign w:val="subscript"/>
          <w:lang w:val="en-US"/>
        </w:rPr>
        <w:t xml:space="preserve">cl   </w:t>
      </w:r>
      <w:r>
        <w:rPr>
          <w:lang w:val="en-US"/>
        </w:rPr>
        <w:t>——</w:t>
      </w:r>
      <w:r>
        <w:rPr>
          <w:rFonts w:hint="eastAsia"/>
          <w:lang w:val="en-US"/>
        </w:rPr>
        <w:t>服装表面系数，通过公式（4）求解；</w:t>
      </w:r>
    </w:p>
    <w:p w14:paraId="526809D9">
      <w:pPr>
        <w:pStyle w:val="3"/>
        <w:ind w:firstLine="630" w:firstLineChars="300"/>
        <w:rPr>
          <w:lang w:val="en-US"/>
        </w:rPr>
      </w:pPr>
      <w:r>
        <w:rPr>
          <w:i/>
          <w:iCs/>
          <w:lang w:val="en-US"/>
        </w:rPr>
        <w:t>t</w:t>
      </w:r>
      <w:r>
        <w:rPr>
          <w:vertAlign w:val="subscript"/>
          <w:lang w:val="en-US"/>
        </w:rPr>
        <w:t xml:space="preserve">a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空气温度（℃），CF</w:t>
      </w:r>
      <w:r>
        <w:rPr>
          <w:lang w:val="en-US"/>
        </w:rPr>
        <w:t>D</w:t>
      </w:r>
      <w:r>
        <w:rPr>
          <w:rFonts w:hint="eastAsia"/>
          <w:lang w:val="en-US"/>
        </w:rPr>
        <w:t>求解；</w:t>
      </w:r>
    </w:p>
    <w:p w14:paraId="0CE75DA7">
      <w:pPr>
        <w:pStyle w:val="3"/>
        <w:ind w:firstLine="630" w:firstLineChars="300"/>
        <w:rPr>
          <w:lang w:val="en-US"/>
        </w:rPr>
      </w:pPr>
      <w:r>
        <w:rPr>
          <w:position w:val="-6"/>
        </w:rPr>
        <w:object>
          <v:shape id="_x0000_i1025" o:spt="75" type="#_x0000_t75" style="height:18pt;width:9.75pt;" o:ole="t" filled="f" o:preferrelative="t" stroked="f" coordsize="21600,21600">
            <v:path/>
            <v:fill on="f" focussize="0,0"/>
            <v:stroke on="f" joinstyle="miter"/>
            <v:imagedata r:id="rId54" o:title=""/>
            <o:lock v:ext="edit" aspectratio="t"/>
            <w10:wrap type="none"/>
            <w10:anchorlock/>
          </v:shape>
          <o:OLEObject Type="Embed" ProgID="Equation.3" ShapeID="_x0000_i1025" DrawAspect="Content" ObjectID="_1468075725" r:id="rId53">
            <o:LockedField>false</o:LockedField>
          </o:OLEObject>
        </w:object>
      </w:r>
      <w:r>
        <w:rPr>
          <w:rFonts w:hint="eastAsia"/>
        </w:rPr>
        <w:t xml:space="preserve">  </w:t>
      </w:r>
      <w:r>
        <w:rPr>
          <w:lang w:val="en-US"/>
        </w:rPr>
        <w:t>——</w:t>
      </w:r>
      <w:r>
        <w:rPr>
          <w:rFonts w:hint="eastAsia"/>
          <w:lang w:val="en-US"/>
        </w:rPr>
        <w:t>平均辐射温度（℃），通过CFD求解获得室内各围护结构平均温度，再加权平均计算；</w:t>
      </w:r>
    </w:p>
    <w:p w14:paraId="7CB89110">
      <w:pPr>
        <w:pStyle w:val="3"/>
        <w:ind w:firstLine="630" w:firstLineChars="300"/>
        <w:rPr>
          <w:lang w:val="en-US"/>
        </w:rPr>
      </w:pPr>
      <w:r>
        <w:rPr>
          <w:i/>
          <w:iCs/>
          <w:lang w:val="en-US"/>
        </w:rPr>
        <w:t>v</w:t>
      </w:r>
      <w:r>
        <w:rPr>
          <w:vertAlign w:val="subscript"/>
          <w:lang w:val="en-US"/>
        </w:rPr>
        <w:t xml:space="preserve">ar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相对风速（m</w:t>
      </w:r>
      <w:r>
        <w:rPr>
          <w:lang w:val="en-US"/>
        </w:rPr>
        <w:t>/s</w:t>
      </w:r>
      <w:r>
        <w:rPr>
          <w:rFonts w:hint="eastAsia"/>
          <w:lang w:val="en-US"/>
        </w:rPr>
        <w:t>），CFD求解；</w:t>
      </w:r>
    </w:p>
    <w:p w14:paraId="2145C940">
      <w:pPr>
        <w:pStyle w:val="3"/>
        <w:ind w:firstLine="630" w:firstLineChars="300"/>
        <w:rPr>
          <w:lang w:val="en-US"/>
        </w:rPr>
      </w:pPr>
      <w:r>
        <w:rPr>
          <w:i/>
          <w:iCs/>
          <w:lang w:val="en-US"/>
        </w:rPr>
        <w:t>P</w:t>
      </w:r>
      <w:r>
        <w:rPr>
          <w:vertAlign w:val="subscript"/>
          <w:lang w:val="en-US"/>
        </w:rPr>
        <w:t xml:space="preserve">a </w:t>
      </w:r>
      <w:r>
        <w:rPr>
          <w:lang w:val="en-US"/>
        </w:rPr>
        <w:t xml:space="preserve"> ——</w:t>
      </w:r>
      <w:r>
        <w:rPr>
          <w:rFonts w:hint="eastAsia"/>
          <w:lang w:val="en-US"/>
        </w:rPr>
        <w:t>水蒸气分压（Pa）；</w:t>
      </w:r>
    </w:p>
    <w:p w14:paraId="7F04E724">
      <w:pPr>
        <w:pStyle w:val="3"/>
        <w:ind w:firstLine="630" w:firstLineChars="300"/>
        <w:rPr>
          <w:lang w:val="en-US"/>
        </w:rPr>
      </w:pPr>
      <w:r>
        <w:rPr>
          <w:i/>
          <w:iCs/>
          <w:lang w:val="en-US"/>
        </w:rPr>
        <w:t>h</w:t>
      </w:r>
      <w:r>
        <w:rPr>
          <w:vertAlign w:val="subscript"/>
          <w:lang w:val="en-US"/>
        </w:rPr>
        <w:t xml:space="preserve">c   </w:t>
      </w:r>
      <w:r>
        <w:rPr>
          <w:lang w:val="en-US"/>
        </w:rPr>
        <w:t>——</w:t>
      </w:r>
      <w:r>
        <w:rPr>
          <w:rFonts w:hint="eastAsia"/>
          <w:lang w:val="en-US"/>
        </w:rPr>
        <w:t>对流换热系数，可通过计算程序迭代计算得出；</w:t>
      </w:r>
    </w:p>
    <w:p w14:paraId="3E963BEF">
      <w:pPr>
        <w:pStyle w:val="3"/>
        <w:ind w:firstLine="630" w:firstLineChars="300"/>
        <w:rPr>
          <w:lang w:val="en-US"/>
        </w:rPr>
      </w:pPr>
      <w:r>
        <w:rPr>
          <w:i/>
          <w:iCs/>
          <w:lang w:val="en-US"/>
        </w:rPr>
        <w:t>t</w:t>
      </w:r>
      <w:r>
        <w:rPr>
          <w:vertAlign w:val="subscript"/>
          <w:lang w:val="en-US"/>
        </w:rPr>
        <w:t>cl</w:t>
      </w:r>
      <w:r>
        <w:rPr>
          <w:lang w:val="en-US"/>
        </w:rPr>
        <w:t xml:space="preserve">  ——</w:t>
      </w:r>
      <w:r>
        <w:rPr>
          <w:rFonts w:hint="eastAsia"/>
          <w:lang w:val="en-US"/>
        </w:rPr>
        <w:t>服装表面温度，可通过计算程序迭代计算得出（℃）；</w:t>
      </w:r>
    </w:p>
    <w:p w14:paraId="1DDF88E7">
      <w:pPr>
        <w:pStyle w:val="3"/>
        <w:ind w:left="88" w:leftChars="42" w:firstLine="0" w:firstLineChars="0"/>
        <w:rPr>
          <w:lang w:val="en-US"/>
        </w:rPr>
      </w:pPr>
      <w:r>
        <w:rPr>
          <w:rFonts w:hint="eastAsia"/>
          <w:lang w:val="en-US"/>
        </w:rPr>
        <w:t>说明：其中水蒸气分压也可以用空气相对湿度代替作为输入的参数。</w:t>
      </w:r>
    </w:p>
    <w:p w14:paraId="36BA72BE">
      <w:pPr>
        <w:pStyle w:val="5"/>
        <w:tabs>
          <w:tab w:val="left" w:pos="360"/>
        </w:tabs>
        <w:ind w:left="0" w:firstLine="0"/>
      </w:pPr>
      <w:bookmarkStart w:id="49" w:name="_Toc29423"/>
      <w:r>
        <w:t>PPD</w:t>
      </w:r>
      <w:r>
        <w:rPr>
          <w:rFonts w:hint="eastAsia"/>
        </w:rPr>
        <w:t>计算公式</w:t>
      </w:r>
      <w:bookmarkEnd w:id="49"/>
    </w:p>
    <w:p w14:paraId="490A4AB0">
      <w:pPr>
        <w:pStyle w:val="3"/>
        <w:ind w:firstLine="420"/>
        <w:rPr>
          <w:lang w:val="en-US"/>
        </w:rPr>
      </w:pPr>
      <w:r>
        <w:rPr>
          <w:lang w:val="en-US"/>
        </w:rPr>
        <w:t xml:space="preserve"> PPD</w:t>
      </w:r>
      <w:r>
        <w:rPr>
          <w:rFonts w:hint="eastAsia"/>
          <w:lang w:val="en-US"/>
        </w:rPr>
        <w:t>为处于热湿环境中的人群对于热湿环境不满意的预计投票平均值，PPD可预测在一给定环境中可能感觉过热或过冷的人的百分数来提供有关热不适或者热不满意的信息。PPD可由PMV得出：</w:t>
      </w:r>
    </w:p>
    <w:p w14:paraId="6150A1B9">
      <w:pPr>
        <w:pStyle w:val="3"/>
        <w:ind w:firstLine="420"/>
        <w:rPr>
          <w:lang w:val="en-US"/>
        </w:rPr>
      </w:pPr>
      <w:r>
        <w:rPr>
          <w:lang w:val="en-US"/>
        </w:rPr>
        <w:drawing>
          <wp:inline distT="0" distB="0" distL="0" distR="0">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a:xfrm>
                      <a:off x="0" y="0"/>
                      <a:ext cx="5762625" cy="219075"/>
                    </a:xfrm>
                    <a:prstGeom prst="rect">
                      <a:avLst/>
                    </a:prstGeom>
                    <a:noFill/>
                    <a:ln>
                      <a:noFill/>
                    </a:ln>
                  </pic:spPr>
                </pic:pic>
              </a:graphicData>
            </a:graphic>
          </wp:inline>
        </w:drawing>
      </w:r>
    </w:p>
    <w:p w14:paraId="5B1120DD">
      <w:pPr>
        <w:pStyle w:val="3"/>
        <w:ind w:firstLine="199" w:firstLineChars="95"/>
        <w:rPr>
          <w:lang w:val="en-US"/>
        </w:rPr>
      </w:pPr>
      <w:r>
        <w:rPr>
          <w:rFonts w:hint="eastAsia"/>
          <w:lang w:val="en-US"/>
        </w:rPr>
        <w:t>式中：PMV为平均热感觉指数；</w:t>
      </w:r>
    </w:p>
    <w:p w14:paraId="76BB2A4B">
      <w:pPr>
        <w:pStyle w:val="3"/>
        <w:ind w:firstLine="630" w:firstLineChars="300"/>
        <w:rPr>
          <w:lang w:val="en-US"/>
        </w:rPr>
      </w:pPr>
      <w:r>
        <w:rPr>
          <w:rFonts w:hint="eastAsia"/>
          <w:lang w:val="en-US"/>
        </w:rPr>
        <w:t xml:space="preserve">  PPD为预计不满意率，%；</w:t>
      </w:r>
    </w:p>
    <w:p w14:paraId="5DB04909">
      <w:pPr>
        <w:pStyle w:val="3"/>
        <w:ind w:firstLine="1050" w:firstLineChars="500"/>
        <w:rPr>
          <w:lang w:val="en-US"/>
        </w:rPr>
      </w:pPr>
      <w:r>
        <w:rPr>
          <w:lang w:val="en-US"/>
        </w:rPr>
        <w:drawing>
          <wp:inline distT="0" distB="0" distL="0" distR="0">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56">
                      <a:extLst>
                        <a:ext uri="{28A0092B-C50C-407E-A947-70E740481C1C}">
                          <a14:useLocalDpi xmlns:a14="http://schemas.microsoft.com/office/drawing/2010/main" val="0"/>
                        </a:ext>
                      </a:extLst>
                    </a:blip>
                    <a:srcRect t="1984"/>
                    <a:stretch>
                      <a:fillRect/>
                    </a:stretch>
                  </pic:blipFill>
                  <pic:spPr>
                    <a:xfrm>
                      <a:off x="0" y="0"/>
                      <a:ext cx="4457700" cy="3048000"/>
                    </a:xfrm>
                    <a:prstGeom prst="rect">
                      <a:avLst/>
                    </a:prstGeom>
                    <a:noFill/>
                    <a:ln>
                      <a:noFill/>
                    </a:ln>
                  </pic:spPr>
                </pic:pic>
              </a:graphicData>
            </a:graphic>
          </wp:inline>
        </w:drawing>
      </w:r>
    </w:p>
    <w:p w14:paraId="554A7781">
      <w:pPr>
        <w:pStyle w:val="3"/>
        <w:ind w:firstLine="1050" w:firstLineChars="500"/>
        <w:rPr>
          <w:rFonts w:ascii="黑体" w:hAnsi="黑体" w:eastAsia="黑体"/>
          <w:lang w:val="en-US"/>
        </w:rPr>
      </w:pPr>
      <w:r>
        <w:rPr>
          <w:rFonts w:hint="eastAsia"/>
          <w:lang w:val="en-US"/>
        </w:rPr>
        <w:t xml:space="preserve">                   </w:t>
      </w:r>
      <w:r>
        <w:rPr>
          <w:rFonts w:hint="eastAsia" w:ascii="黑体" w:hAnsi="黑体" w:eastAsia="黑体"/>
          <w:lang w:val="en-US"/>
        </w:rPr>
        <w:t xml:space="preserve">      PPD与PMV的关系</w:t>
      </w:r>
    </w:p>
    <w:p w14:paraId="162D8EEE">
      <w:pPr>
        <w:pStyle w:val="5"/>
        <w:tabs>
          <w:tab w:val="left" w:pos="360"/>
        </w:tabs>
        <w:ind w:left="0" w:firstLine="0"/>
      </w:pPr>
      <w:bookmarkStart w:id="50" w:name="_Toc4699"/>
      <w:r>
        <w:rPr>
          <w:rFonts w:hint="eastAsia"/>
        </w:rPr>
        <w:t>PMV和PPD达标比例计算</w:t>
      </w:r>
      <w:bookmarkEnd w:id="50"/>
    </w:p>
    <w:p w14:paraId="5064398E">
      <w:pPr>
        <w:pStyle w:val="3"/>
        <w:ind w:firstLine="420"/>
        <w:rPr>
          <w:lang w:val="en-US"/>
        </w:rPr>
      </w:pPr>
      <w:r>
        <w:rPr>
          <w:rFonts w:hint="eastAsia"/>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3B478BC6">
      <w:pPr>
        <w:pStyle w:val="2"/>
      </w:pPr>
      <w:bookmarkStart w:id="51" w:name="_Toc27310"/>
      <w:r>
        <w:rPr>
          <w:rFonts w:hint="eastAsia"/>
        </w:rPr>
        <w:t>室内热湿环境局部评价</w:t>
      </w:r>
      <w:r>
        <w:t>指标</w:t>
      </w:r>
      <w:r>
        <w:rPr>
          <w:rFonts w:hint="eastAsia"/>
        </w:rPr>
        <w:t>计算方法</w:t>
      </w:r>
      <w:bookmarkEnd w:id="51"/>
    </w:p>
    <w:p w14:paraId="547DBDAE">
      <w:pPr>
        <w:pStyle w:val="3"/>
        <w:ind w:firstLine="420"/>
        <w:rPr>
          <w:lang w:val="en-US"/>
        </w:rPr>
      </w:pPr>
      <w:r>
        <w:rPr>
          <w:rFonts w:hint="eastAsia"/>
          <w:lang w:val="en-US"/>
        </w:rPr>
        <w:t>先通过CFD法求解室内温度场和速度场分布，并提取局部空气温度、平均空气流速以及地板表面平均温度，并根据《民用建筑室内热湿环境评价标准》GB/T 50785-2012中附录F的关于冷对风感、垂直空气温度差和地板表明温度引起的不满意率计算公式，计算出三个局部评价指标。</w:t>
      </w:r>
    </w:p>
    <w:p w14:paraId="6F4823C1">
      <w:pPr>
        <w:pStyle w:val="3"/>
        <w:ind w:firstLine="420"/>
        <w:rPr>
          <w:lang w:val="en-US"/>
        </w:rPr>
      </w:pPr>
      <w:r>
        <w:rPr>
          <w:rFonts w:hint="eastAsia"/>
          <w:lang w:val="en-US"/>
        </w:rPr>
        <w:t xml:space="preserve">  CFD计算原理已经在第4章阐述，在此不再赘述。下面为三个局部不满意率对应的计算公式：</w:t>
      </w:r>
    </w:p>
    <w:p w14:paraId="22457DA9">
      <w:pPr>
        <w:pStyle w:val="5"/>
        <w:rPr>
          <w:rFonts w:asciiTheme="minorEastAsia" w:hAnsiTheme="minorEastAsia" w:eastAsiaTheme="minorEastAsia"/>
        </w:rPr>
      </w:pPr>
      <w:bookmarkStart w:id="52" w:name="_Toc22366"/>
      <w:r>
        <w:rPr>
          <w:rFonts w:hint="eastAsia" w:asciiTheme="minorEastAsia" w:hAnsiTheme="minorEastAsia" w:eastAsiaTheme="minorEastAsia"/>
        </w:rPr>
        <w:t>冷吹风感局部不满意率LPD1计算公式</w:t>
      </w:r>
      <w:bookmarkEnd w:id="52"/>
    </w:p>
    <w:p w14:paraId="7CCD5B7B">
      <w:pPr>
        <w:ind w:firstLine="420" w:firstLineChars="200"/>
        <w:rPr>
          <w:sz w:val="24"/>
          <w:szCs w:val="24"/>
        </w:rPr>
      </w:pPr>
      <w:r>
        <w:rPr>
          <w:szCs w:val="21"/>
          <w:lang w:val="en-US"/>
        </w:rPr>
        <w:t>冷吹风感引起的局部不满意率</w:t>
      </w:r>
      <w:r>
        <w:rPr>
          <w:rFonts w:hint="eastAsia"/>
          <w:sz w:val="24"/>
          <w:szCs w:val="24"/>
        </w:rPr>
        <w:t>（</w:t>
      </w:r>
      <m:oMath>
        <m:sSub>
          <m:sSubPr>
            <m:ctrlPr>
              <w:rPr>
                <w:rFonts w:ascii="Cambria Math" w:hAnsi="Cambria Math"/>
                <w:i/>
                <w:sz w:val="24"/>
                <w:szCs w:val="24"/>
              </w:rPr>
            </m:ctrlPr>
          </m:sSubPr>
          <m:e>
            <m:r>
              <m:rPr/>
              <w:rPr>
                <w:rFonts w:ascii="Cambria Math" w:hAnsi="Cambria Math"/>
                <w:sz w:val="24"/>
                <w:szCs w:val="24"/>
              </w:rPr>
              <m:t>LPD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oMath>
      <w:r>
        <w:rPr>
          <w:rFonts w:hint="eastAsia"/>
          <w:sz w:val="24"/>
          <w:szCs w:val="24"/>
        </w:rPr>
        <w:t>）</w:t>
      </w:r>
      <w:r>
        <w:rPr>
          <w:rFonts w:hint="eastAsia"/>
          <w:szCs w:val="21"/>
          <w:lang w:val="en-US"/>
        </w:rPr>
        <w:t>应按下式计算：</w:t>
      </w:r>
    </w:p>
    <w:p w14:paraId="14B0D39F">
      <w:pPr>
        <w:rPr>
          <w:i/>
          <w:sz w:val="24"/>
          <w:szCs w:val="24"/>
        </w:rPr>
      </w:pPr>
      <m:oMathPara>
        <m:oMath>
          <m:sSub>
            <m:sSubPr>
              <m:ctrlPr>
                <w:rPr>
                  <w:rFonts w:ascii="Cambria Math" w:hAnsi="Cambria Math"/>
                  <w:i/>
                  <w:sz w:val="24"/>
                  <w:szCs w:val="24"/>
                </w:rPr>
              </m:ctrlPr>
            </m:sSubPr>
            <m:e>
              <m:r>
                <m:rPr/>
                <w:rPr>
                  <w:rFonts w:ascii="Cambria Math" w:hAnsi="Cambria Math"/>
                  <w:sz w:val="24"/>
                  <w:szCs w:val="24"/>
                </w:rPr>
                <m:t>LPD</m:t>
              </m:r>
              <m:ctrlPr>
                <w:rPr>
                  <w:rFonts w:ascii="Cambria Math" w:hAnsi="Cambria Math"/>
                  <w:i/>
                  <w:sz w:val="24"/>
                  <w:szCs w:val="24"/>
                </w:rPr>
              </m:ctrlPr>
            </m:e>
            <m:sub>
              <m:r>
                <m:rPr/>
                <w:rPr>
                  <w:rFonts w:ascii="Cambria Math" w:hAnsi="Cambria Math"/>
                  <w:sz w:val="24"/>
                  <w:szCs w:val="24"/>
                </w:rPr>
                <m:t>1</m:t>
              </m:r>
              <m:ctrlPr>
                <w:rPr>
                  <w:rFonts w:ascii="Cambria Math" w:hAnsi="Cambria Math"/>
                  <w:i/>
                  <w:sz w:val="24"/>
                  <w:szCs w:val="24"/>
                </w:rPr>
              </m:ctrlPr>
            </m:sub>
          </m:sSub>
          <m:r>
            <m:rPr/>
            <w:rPr>
              <w:rFonts w:ascii="Cambria Math" w:hAnsi="Cambria Math"/>
              <w:sz w:val="24"/>
              <w:szCs w:val="24"/>
            </w:rPr>
            <m:t>=</m:t>
          </m:r>
          <m:d>
            <m:dPr>
              <m:ctrlPr>
                <w:rPr>
                  <w:rFonts w:ascii="Cambria Math" w:hAnsi="Cambria Math"/>
                  <w:i/>
                  <w:sz w:val="24"/>
                  <w:szCs w:val="24"/>
                </w:rPr>
              </m:ctrlPr>
            </m:dPr>
            <m:e>
              <m:r>
                <m:rPr/>
                <w:rPr>
                  <w:rFonts w:ascii="Cambria Math" w:hAnsi="Cambria Math"/>
                  <w:sz w:val="24"/>
                  <w:szCs w:val="24"/>
                </w:rPr>
                <m:t>34−</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d>
          <m:sSup>
            <m:sSupPr>
              <m:ctrlPr>
                <w:rPr>
                  <w:rFonts w:ascii="Cambria Math" w:hAnsi="Cambria Math"/>
                  <w:i/>
                  <w:sz w:val="24"/>
                  <w:szCs w:val="24"/>
                </w:rPr>
              </m:ctrlPr>
            </m:sSupPr>
            <m:e>
              <m:d>
                <m:dPr>
                  <m:ctrlPr>
                    <w:rPr>
                      <w:rFonts w:ascii="Cambria Math" w:hAnsi="Cambria Math"/>
                      <w:i/>
                      <w:sz w:val="24"/>
                      <w:szCs w:val="24"/>
                    </w:rPr>
                  </m:ctrlPr>
                </m:dPr>
                <m:e>
                  <m:acc>
                    <m:accPr>
                      <m:chr m:val="̅"/>
                      <m:ctrlPr>
                        <w:rPr>
                          <w:rFonts w:ascii="Cambria Math" w:hAnsi="Cambria Math"/>
                          <w:i/>
                          <w:sz w:val="24"/>
                          <w:szCs w:val="24"/>
                        </w:rPr>
                      </m:ctrlPr>
                    </m:accPr>
                    <m:e>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acc>
                  <m:r>
                    <m:rPr/>
                    <w:rPr>
                      <w:rFonts w:ascii="Cambria Math" w:hAnsi="Cambria Math"/>
                      <w:sz w:val="24"/>
                      <w:szCs w:val="24"/>
                    </w:rPr>
                    <m:t>−0.05</m:t>
                  </m:r>
                  <m:ctrlPr>
                    <w:rPr>
                      <w:rFonts w:ascii="Cambria Math" w:hAnsi="Cambria Math"/>
                      <w:i/>
                      <w:sz w:val="24"/>
                      <w:szCs w:val="24"/>
                    </w:rPr>
                  </m:ctrlPr>
                </m:e>
              </m:d>
              <m:ctrlPr>
                <w:rPr>
                  <w:rFonts w:ascii="Cambria Math" w:hAnsi="Cambria Math"/>
                  <w:i/>
                  <w:sz w:val="24"/>
                  <w:szCs w:val="24"/>
                </w:rPr>
              </m:ctrlPr>
            </m:e>
            <m:sup>
              <m:r>
                <m:rPr/>
                <w:rPr>
                  <w:rFonts w:ascii="Cambria Math" w:hAnsi="Cambria Math"/>
                  <w:sz w:val="24"/>
                  <w:szCs w:val="24"/>
                </w:rPr>
                <m:t>0.62</m:t>
              </m:r>
              <m:ctrlPr>
                <w:rPr>
                  <w:rFonts w:ascii="Cambria Math" w:hAnsi="Cambria Math"/>
                  <w:i/>
                  <w:sz w:val="24"/>
                  <w:szCs w:val="24"/>
                </w:rPr>
              </m:ctrlPr>
            </m:sup>
          </m:sSup>
          <m:d>
            <m:dPr>
              <m:ctrlPr>
                <w:rPr>
                  <w:rFonts w:ascii="Cambria Math" w:hAnsi="Cambria Math"/>
                  <w:i/>
                  <w:sz w:val="24"/>
                  <w:szCs w:val="24"/>
                </w:rPr>
              </m:ctrlPr>
            </m:dPr>
            <m:e>
              <m:r>
                <m:rPr/>
                <w:rPr>
                  <w:rFonts w:ascii="Cambria Math" w:hAnsi="Cambria Math"/>
                  <w:sz w:val="24"/>
                  <w:szCs w:val="24"/>
                </w:rPr>
                <m:t>0.37∗</m:t>
              </m:r>
              <m:acc>
                <m:accPr>
                  <m:chr m:val="̅"/>
                  <m:ctrlPr>
                    <w:rPr>
                      <w:rFonts w:ascii="Cambria Math" w:hAnsi="Cambria Math"/>
                      <w:i/>
                      <w:sz w:val="24"/>
                      <w:szCs w:val="24"/>
                    </w:rPr>
                  </m:ctrlPr>
                </m:accPr>
                <m:e>
                  <m:sSub>
                    <m:sSubPr>
                      <m:ctrlPr>
                        <w:rPr>
                          <w:rFonts w:ascii="Cambria Math" w:hAnsi="Cambria Math"/>
                          <w:i/>
                          <w:sz w:val="24"/>
                          <w:szCs w:val="24"/>
                        </w:rPr>
                      </m:ctrlPr>
                    </m:sSubPr>
                    <m:e>
                      <m:r>
                        <m:rPr/>
                        <w:rPr>
                          <w:rFonts w:ascii="Cambria Math" w:hAnsi="Cambria Math"/>
                          <w:sz w:val="24"/>
                          <w:szCs w:val="24"/>
                        </w:rPr>
                        <m:t>v</m:t>
                      </m:r>
                      <m:ctrlPr>
                        <w:rPr>
                          <w:rFonts w:ascii="Cambria Math" w:hAnsi="Cambria Math"/>
                          <w:i/>
                          <w:sz w:val="24"/>
                          <w:szCs w:val="24"/>
                        </w:rPr>
                      </m:ctrlPr>
                    </m:e>
                    <m:sub>
                      <m:r>
                        <m:rPr/>
                        <w:rPr>
                          <w:rFonts w:ascii="Cambria Math" w:hAnsi="Cambria Math"/>
                          <w:sz w:val="24"/>
                          <w:szCs w:val="24"/>
                        </w:rPr>
                        <m:t>al</m:t>
                      </m:r>
                      <m:ctrlPr>
                        <w:rPr>
                          <w:rFonts w:ascii="Cambria Math" w:hAnsi="Cambria Math"/>
                          <w:i/>
                          <w:sz w:val="24"/>
                          <w:szCs w:val="24"/>
                        </w:rPr>
                      </m:ctrlPr>
                    </m:sub>
                  </m:sSub>
                  <m:ctrlPr>
                    <w:rPr>
                      <w:rFonts w:ascii="Cambria Math" w:hAnsi="Cambria Math"/>
                      <w:i/>
                      <w:sz w:val="24"/>
                      <w:szCs w:val="24"/>
                    </w:rPr>
                  </m:ctrlPr>
                </m:e>
              </m:acc>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u</m:t>
                  </m:r>
                  <m:ctrlPr>
                    <w:rPr>
                      <w:rFonts w:ascii="Cambria Math" w:hAnsi="Cambria Math"/>
                      <w:i/>
                      <w:sz w:val="24"/>
                      <w:szCs w:val="24"/>
                    </w:rPr>
                  </m:ctrlPr>
                </m:sub>
              </m:sSub>
              <m:r>
                <m:rPr/>
                <w:rPr>
                  <w:rFonts w:ascii="Cambria Math" w:hAnsi="Cambria Math"/>
                  <w:sz w:val="24"/>
                  <w:szCs w:val="24"/>
                </w:rPr>
                <m:t>+3.14</m:t>
              </m:r>
              <m:ctrlPr>
                <w:rPr>
                  <w:rFonts w:ascii="Cambria Math" w:hAnsi="Cambria Math"/>
                  <w:i/>
                  <w:sz w:val="24"/>
                  <w:szCs w:val="24"/>
                </w:rPr>
              </m:ctrlPr>
            </m:e>
          </m:d>
        </m:oMath>
      </m:oMathPara>
    </w:p>
    <w:p w14:paraId="23D310C0">
      <w:pPr>
        <w:ind w:firstLine="420" w:firstLineChars="200"/>
        <w:rPr>
          <w:szCs w:val="21"/>
        </w:rPr>
      </w:pPr>
      <w:r>
        <w:rPr>
          <w:rFonts w:hint="eastAsia"/>
          <w:szCs w:val="21"/>
        </w:rPr>
        <w:t>式中：</w:t>
      </w:r>
      <m:oMath>
        <m:sSub>
          <m:sSubPr>
            <m:ctrlPr>
              <w:rPr>
                <w:rFonts w:ascii="Cambria Math" w:hAnsi="Cambria Math"/>
                <w:i/>
                <w:szCs w:val="21"/>
              </w:rPr>
            </m:ctrlPr>
          </m:sSubPr>
          <m:e>
            <m:r>
              <m:rPr>
                <m:nor/>
              </m:rPr>
              <w:rPr>
                <w:rFonts w:ascii="Cambria Math" w:hAnsi="Cambria Math"/>
                <w:i/>
                <w:szCs w:val="21"/>
              </w:rPr>
              <m:t>LPD</m:t>
            </m:r>
            <m:ctrlPr>
              <w:rPr>
                <w:rFonts w:ascii="Cambria Math" w:hAnsi="Cambria Math"/>
                <w:i/>
                <w:szCs w:val="21"/>
              </w:rPr>
            </m:ctrlPr>
          </m:e>
          <m:sub>
            <m:r>
              <m:rPr>
                <m:nor/>
              </m:rPr>
              <w:rPr>
                <w:rFonts w:ascii="Cambria Math" w:hAnsi="Cambria Math"/>
                <w:i/>
                <w:szCs w:val="21"/>
              </w:rPr>
              <m:t>1</m:t>
            </m:r>
            <m:ctrlPr>
              <w:rPr>
                <w:rFonts w:ascii="Cambria Math" w:hAnsi="Cambria Math"/>
                <w:i/>
                <w:szCs w:val="21"/>
              </w:rPr>
            </m:ctrlPr>
          </m:sub>
        </m:sSub>
      </m:oMath>
      <w:r>
        <w:rPr>
          <w:rFonts w:hint="eastAsia"/>
          <w:szCs w:val="21"/>
        </w:rPr>
        <w:t>——</w:t>
      </w:r>
      <w:r>
        <w:rPr>
          <w:szCs w:val="21"/>
        </w:rPr>
        <w:t>局部不满意率</w:t>
      </w:r>
      <w:r>
        <w:rPr>
          <w:rFonts w:hint="eastAsia"/>
          <w:szCs w:val="21"/>
        </w:rPr>
        <w:t>（%）；</w:t>
      </w:r>
    </w:p>
    <w:p w14:paraId="5473FB30">
      <w:pPr>
        <w:ind w:firstLine="630" w:firstLineChars="300"/>
        <w:rPr>
          <w:szCs w:val="21"/>
        </w:rPr>
      </w:pPr>
      <m:oMath>
        <m:r>
          <m:rPr/>
          <w:rPr>
            <w:rFonts w:ascii="Cambria Math" w:hAnsi="Cambria Math"/>
            <w:szCs w:val="21"/>
          </w:rPr>
          <m:t xml:space="preserve">        </m:t>
        </m:r>
        <m:sSub>
          <m:sSubPr>
            <m:ctrlPr>
              <w:rPr>
                <w:rFonts w:ascii="Cambria Math" w:hAnsi="Cambria Math"/>
                <w:i/>
                <w:szCs w:val="21"/>
              </w:rPr>
            </m:ctrlPr>
          </m:sSubPr>
          <m:e>
            <m:r>
              <m:rPr>
                <m:nor/>
              </m:rPr>
              <w:rPr>
                <w:rFonts w:ascii="Cambria Math" w:hAnsi="Cambria Math"/>
                <w:i/>
                <w:szCs w:val="21"/>
              </w:rPr>
              <m:t>t</m:t>
            </m:r>
            <m:ctrlPr>
              <w:rPr>
                <w:rFonts w:ascii="Cambria Math" w:hAnsi="Cambria Math"/>
                <w:i/>
                <w:szCs w:val="21"/>
              </w:rPr>
            </m:ctrlPr>
          </m:e>
          <m:sub>
            <m:r>
              <m:rPr>
                <m:nor/>
              </m:rPr>
              <w:rPr>
                <w:rFonts w:ascii="Cambria Math" w:hAnsi="Cambria Math"/>
                <w:i/>
                <w:szCs w:val="21"/>
              </w:rPr>
              <m:t>al</m:t>
            </m:r>
            <m:ctrlPr>
              <w:rPr>
                <w:rFonts w:ascii="Cambria Math" w:hAnsi="Cambria Math"/>
                <w:i/>
                <w:szCs w:val="21"/>
              </w:rPr>
            </m:ctrlPr>
          </m:sub>
        </m:sSub>
      </m:oMath>
      <w:r>
        <w:rPr>
          <w:rFonts w:hint="eastAsia"/>
          <w:szCs w:val="21"/>
        </w:rPr>
        <w:t xml:space="preserve"> ——局部空气温度（℃）；</w:t>
      </w:r>
    </w:p>
    <w:p w14:paraId="05315A3C">
      <w:pPr>
        <w:ind w:left="1478" w:leftChars="487" w:hanging="455" w:hangingChars="217"/>
        <w:rPr>
          <w:szCs w:val="21"/>
        </w:rPr>
      </w:pPr>
      <m:oMath>
        <m:acc>
          <m:accPr>
            <m:chr m:val="̅"/>
            <m:ctrlPr>
              <w:rPr>
                <w:rFonts w:ascii="Cambria Math" w:hAnsi="Cambria Math"/>
                <w:szCs w:val="21"/>
              </w:rPr>
            </m:ctrlPr>
          </m:accPr>
          <m:e>
            <m:sSub>
              <m:sSubPr>
                <m:ctrlPr>
                  <w:rPr>
                    <w:rFonts w:ascii="Cambria Math" w:hAnsi="Cambria Math"/>
                    <w:i/>
                    <w:szCs w:val="21"/>
                  </w:rPr>
                </m:ctrlPr>
              </m:sSubPr>
              <m:e>
                <m:r>
                  <m:rPr/>
                  <w:rPr>
                    <w:rFonts w:ascii="Cambria Math" w:hAnsi="Cambria Math"/>
                    <w:szCs w:val="21"/>
                  </w:rPr>
                  <m:t>v</m:t>
                </m:r>
                <m:ctrlPr>
                  <w:rPr>
                    <w:rFonts w:ascii="Cambria Math" w:hAnsi="Cambria Math"/>
                    <w:i/>
                    <w:szCs w:val="21"/>
                  </w:rPr>
                </m:ctrlPr>
              </m:e>
              <m:sub>
                <m:r>
                  <m:rPr/>
                  <w:rPr>
                    <w:rFonts w:ascii="Cambria Math" w:hAnsi="Cambria Math"/>
                    <w:szCs w:val="21"/>
                  </w:rPr>
                  <m:t>al</m:t>
                </m:r>
                <m:ctrlPr>
                  <w:rPr>
                    <w:rFonts w:ascii="Cambria Math" w:hAnsi="Cambria Math"/>
                    <w:i/>
                    <w:szCs w:val="21"/>
                  </w:rPr>
                </m:ctrlPr>
              </m:sub>
            </m:sSub>
            <m:ctrlPr>
              <w:rPr>
                <w:rFonts w:ascii="Cambria Math" w:hAnsi="Cambria Math"/>
                <w:szCs w:val="21"/>
              </w:rPr>
            </m:ctrlPr>
          </m:e>
        </m:acc>
      </m:oMath>
      <w:r>
        <w:rPr>
          <w:rFonts w:hint="eastAsia"/>
          <w:szCs w:val="21"/>
        </w:rPr>
        <w:t xml:space="preserve"> ——局部平均空气流速（</w:t>
      </w:r>
      <w:r>
        <w:rPr>
          <w:szCs w:val="21"/>
        </w:rPr>
        <w:t>m/s</w:t>
      </w:r>
      <w:r>
        <w:rPr>
          <w:rFonts w:hint="eastAsia"/>
          <w:szCs w:val="21"/>
        </w:rPr>
        <w:t>）。若局部平均空气流速小于0</w:t>
      </w:r>
      <w:r>
        <w:rPr>
          <w:szCs w:val="21"/>
        </w:rPr>
        <w:t>.05m/s</w:t>
      </w:r>
      <w:r>
        <w:rPr>
          <w:rFonts w:hint="eastAsia"/>
          <w:szCs w:val="21"/>
        </w:rPr>
        <w:t>，</w:t>
      </w:r>
      <w:r>
        <w:rPr>
          <w:szCs w:val="21"/>
        </w:rPr>
        <w:t>取</w:t>
      </w:r>
      <w:r>
        <w:rPr>
          <w:rFonts w:hint="eastAsia"/>
          <w:szCs w:val="21"/>
        </w:rPr>
        <w:t>0</w:t>
      </w:r>
      <w:r>
        <w:rPr>
          <w:szCs w:val="21"/>
        </w:rPr>
        <w:t>.05m/s;</w:t>
      </w:r>
    </w:p>
    <w:p w14:paraId="39B1BA96">
      <w:pPr>
        <w:tabs>
          <w:tab w:val="center" w:pos="4513"/>
        </w:tabs>
        <w:ind w:firstLine="630" w:firstLineChars="300"/>
        <w:rPr>
          <w:szCs w:val="21"/>
        </w:rPr>
      </w:pPr>
      <m:oMath>
        <m:sSub>
          <m:sSubPr>
            <m:ctrlPr>
              <w:rPr>
                <w:rFonts w:ascii="Cambria Math" w:hAnsi="Cambria Math"/>
                <w:i/>
                <w:szCs w:val="21"/>
              </w:rPr>
            </m:ctrlPr>
          </m:sSubPr>
          <m:e>
            <m:r>
              <m:rPr>
                <m:nor/>
              </m:rPr>
              <w:rPr>
                <w:rFonts w:ascii="Cambria Math" w:hAnsi="Cambria Math"/>
                <w:i/>
                <w:szCs w:val="21"/>
              </w:rPr>
              <m:t xml:space="preserve">       T</m:t>
            </m:r>
            <m:ctrlPr>
              <w:rPr>
                <w:rFonts w:ascii="Cambria Math" w:hAnsi="Cambria Math"/>
                <w:i/>
                <w:szCs w:val="21"/>
              </w:rPr>
            </m:ctrlPr>
          </m:e>
          <m:sub>
            <m:r>
              <m:rPr>
                <m:nor/>
              </m:rPr>
              <w:rPr>
                <w:rFonts w:ascii="Cambria Math" w:hAnsi="Cambria Math"/>
                <w:i/>
                <w:szCs w:val="21"/>
              </w:rPr>
              <m:t>u</m:t>
            </m:r>
            <m:ctrlPr>
              <w:rPr>
                <w:rFonts w:ascii="Cambria Math" w:hAnsi="Cambria Math"/>
                <w:i/>
                <w:szCs w:val="21"/>
              </w:rPr>
            </m:ctrlPr>
          </m:sub>
        </m:sSub>
        <m:r>
          <m:rPr/>
          <w:rPr>
            <w:rFonts w:ascii="Cambria Math" w:hAnsi="Cambria Math"/>
            <w:szCs w:val="21"/>
          </w:rPr>
          <m:t xml:space="preserve"> </m:t>
        </m:r>
      </m:oMath>
      <w:r>
        <w:rPr>
          <w:rFonts w:hint="eastAsia"/>
          <w:szCs w:val="21"/>
        </w:rPr>
        <w:t xml:space="preserve"> ——</w:t>
      </w:r>
      <w:r>
        <w:rPr>
          <w:szCs w:val="21"/>
        </w:rPr>
        <w:t>局部紊流强度</w:t>
      </w:r>
      <w:r>
        <w:rPr>
          <w:rFonts w:hint="eastAsia"/>
          <w:szCs w:val="21"/>
        </w:rPr>
        <w:t>（%）。</w:t>
      </w:r>
      <w:r>
        <w:rPr>
          <w:szCs w:val="21"/>
        </w:rPr>
        <w:tab/>
      </w:r>
    </w:p>
    <w:p w14:paraId="3B834322">
      <w:pPr>
        <w:pStyle w:val="5"/>
        <w:rPr>
          <w:rFonts w:asciiTheme="minorEastAsia" w:hAnsiTheme="minorEastAsia" w:eastAsiaTheme="minorEastAsia"/>
        </w:rPr>
      </w:pPr>
      <w:bookmarkStart w:id="53" w:name="_Toc9219"/>
      <w:r>
        <w:rPr>
          <w:rFonts w:hint="eastAsia" w:asciiTheme="minorEastAsia" w:hAnsiTheme="minorEastAsia" w:eastAsiaTheme="minorEastAsia"/>
        </w:rPr>
        <w:t>垂直空气温度差不满意率LPD2计算公式</w:t>
      </w:r>
      <w:bookmarkEnd w:id="53"/>
    </w:p>
    <w:p w14:paraId="21DD7BE6">
      <w:pPr>
        <w:pStyle w:val="3"/>
        <w:ind w:firstLine="480"/>
        <w:rPr>
          <w:i/>
          <w:sz w:val="24"/>
          <w:lang w:val="en-US"/>
        </w:rPr>
      </w:pPr>
      <m:oMathPara>
        <m:oMath>
          <m:r>
            <m:rPr/>
            <w:rPr>
              <w:rFonts w:hint="eastAsia" w:ascii="Cambria Math" w:hAnsi="Cambria Math"/>
              <w:sz w:val="24"/>
              <w:lang w:val="en-US"/>
            </w:rPr>
            <m:t>L</m:t>
          </m:r>
          <m:r>
            <m:rPr/>
            <w:rPr>
              <w:rFonts w:hint="eastAsia" w:ascii="Cambria Math" w:hAnsi="Cambria Math"/>
              <w:sz w:val="24"/>
              <w:szCs w:val="24"/>
            </w:rPr>
            <m:t>P</m:t>
          </m:r>
          <m:sSub>
            <m:sSubPr>
              <m:ctrlPr>
                <w:rPr>
                  <w:rFonts w:ascii="Cambria Math" w:hAnsi="Cambria Math"/>
                  <w:i/>
                  <w:sz w:val="24"/>
                  <w:szCs w:val="24"/>
                </w:rPr>
              </m:ctrlPr>
            </m:sSubPr>
            <m:e>
              <m:r>
                <m:rPr/>
                <w:rPr>
                  <w:rFonts w:hint="eastAsia" w:ascii="Cambria Math" w:hAnsi="Cambria Math"/>
                  <w:sz w:val="24"/>
                  <w:szCs w:val="24"/>
                </w:rPr>
                <m:t>D</m:t>
              </m:r>
              <m:ctrlPr>
                <w:rPr>
                  <w:rFonts w:ascii="Cambria Math" w:hAnsi="Cambria Math"/>
                  <w:i/>
                  <w:sz w:val="24"/>
                  <w:szCs w:val="24"/>
                </w:rPr>
              </m:ctrlPr>
            </m:e>
            <m:sub>
              <m:r>
                <m:rPr/>
                <w:rPr>
                  <w:rFonts w:hint="eastAsia" w:ascii="Cambria Math" w:hAnsi="Cambria Math"/>
                  <w:sz w:val="24"/>
                  <w:szCs w:val="24"/>
                </w:rPr>
                <m:t>2</m:t>
              </m:r>
              <m:ctrlPr>
                <w:rPr>
                  <w:rFonts w:ascii="Cambria Math" w:hAnsi="Cambria Math"/>
                  <w:i/>
                  <w:sz w:val="24"/>
                  <w:szCs w:val="24"/>
                </w:rPr>
              </m:ctrlPr>
            </m:sub>
          </m:sSub>
          <m:r>
            <m:rPr/>
            <w:rPr>
              <w:rFonts w:hint="eastAsia" w:ascii="Cambria Math" w:hAnsi="Cambria Math"/>
              <w:sz w:val="24"/>
              <w:szCs w:val="24"/>
            </w:rPr>
            <m:t>=</m:t>
          </m:r>
          <m:f>
            <m:fPr>
              <m:ctrlPr>
                <w:rPr>
                  <w:rFonts w:ascii="Cambria Math" w:hAnsi="Cambria Math"/>
                  <w:i/>
                  <w:sz w:val="24"/>
                  <w:szCs w:val="24"/>
                </w:rPr>
              </m:ctrlPr>
            </m:fPr>
            <m:num>
              <m:r>
                <m:rPr/>
                <w:rPr>
                  <w:rFonts w:hint="eastAsia" w:ascii="Cambria Math" w:hAnsi="Cambria Math"/>
                  <w:sz w:val="24"/>
                  <w:szCs w:val="24"/>
                </w:rPr>
                <m:t>100</m:t>
              </m:r>
              <m:ctrlPr>
                <w:rPr>
                  <w:rFonts w:ascii="Cambria Math" w:hAnsi="Cambria Math"/>
                  <w:i/>
                  <w:sz w:val="24"/>
                  <w:szCs w:val="24"/>
                </w:rPr>
              </m:ctrlPr>
            </m:num>
            <m:den>
              <m:r>
                <m:rPr/>
                <w:rPr>
                  <w:rFonts w:hint="eastAsia" w:ascii="Cambria Math" w:hAnsi="Cambria Math"/>
                  <w:sz w:val="24"/>
                  <w:szCs w:val="24"/>
                </w:rPr>
                <m:t>1+exp(5.76</m:t>
              </m:r>
              <m:r>
                <m:rPr/>
                <w:rPr>
                  <w:rFonts w:ascii="Cambria Math" w:hAnsi="Cambria Math"/>
                  <w:sz w:val="24"/>
                  <w:szCs w:val="24"/>
                </w:rPr>
                <m:t>−</m:t>
              </m:r>
              <m:r>
                <m:rPr/>
                <w:rPr>
                  <w:rFonts w:hint="eastAsia" w:ascii="Cambria Math" w:hAnsi="Cambria Math"/>
                  <w:sz w:val="24"/>
                  <w:szCs w:val="24"/>
                </w:rPr>
                <m:t>0.856</m:t>
              </m:r>
              <m:r>
                <m:rPr/>
                <w:rPr>
                  <w:rFonts w:ascii="Cambria Math" w:hAnsi="Cambria Math"/>
                  <w:sz w:val="24"/>
                  <w:szCs w:val="24"/>
                </w:rPr>
                <m:t>∙</m:t>
              </m:r>
              <m:sSub>
                <m:sSubPr>
                  <m:ctrlPr>
                    <w:rPr>
                      <w:rFonts w:ascii="Cambria Math" w:hAnsi="Cambria Math"/>
                      <w:i/>
                      <w:sz w:val="24"/>
                      <w:szCs w:val="24"/>
                    </w:rPr>
                  </m:ctrlPr>
                </m:sSubPr>
                <m:e>
                  <m:r>
                    <m:rPr/>
                    <w:rPr>
                      <w:rFonts w:ascii="Cambria Math" w:hAnsi="Cambria Math"/>
                      <w:sz w:val="24"/>
                      <w:szCs w:val="24"/>
                    </w:rPr>
                    <m:t>∆</m:t>
                  </m:r>
                  <m:r>
                    <m:rPr/>
                    <w:rPr>
                      <w:rFonts w:hint="eastAsia" w:ascii="Cambria Math" w:hAnsi="Cambria Math"/>
                      <w:sz w:val="24"/>
                      <w:szCs w:val="24"/>
                    </w:rPr>
                    <m:t>t</m:t>
                  </m:r>
                  <m:ctrlPr>
                    <w:rPr>
                      <w:rFonts w:ascii="Cambria Math" w:hAnsi="Cambria Math"/>
                      <w:i/>
                      <w:sz w:val="24"/>
                      <w:szCs w:val="24"/>
                    </w:rPr>
                  </m:ctrlPr>
                </m:e>
                <m:sub>
                  <m:r>
                    <m:rPr/>
                    <w:rPr>
                      <w:rFonts w:ascii="Cambria Math" w:hAnsi="Cambria Math"/>
                      <w:sz w:val="24"/>
                      <w:szCs w:val="24"/>
                    </w:rPr>
                    <m:t>a,v</m:t>
                  </m:r>
                  <m:ctrlPr>
                    <w:rPr>
                      <w:rFonts w:ascii="Cambria Math" w:hAnsi="Cambria Math"/>
                      <w:i/>
                      <w:sz w:val="24"/>
                      <w:szCs w:val="24"/>
                    </w:rPr>
                  </m:ctrlPr>
                </m:sub>
              </m:sSub>
              <m:r>
                <m:rPr/>
                <w:rPr>
                  <w:rFonts w:hint="eastAsia" w:ascii="Cambria Math" w:hAnsi="Cambria Math"/>
                  <w:sz w:val="24"/>
                  <w:szCs w:val="24"/>
                </w:rPr>
                <m:t xml:space="preserve">) </m:t>
              </m:r>
              <m:ctrlPr>
                <w:rPr>
                  <w:rFonts w:ascii="Cambria Math" w:hAnsi="Cambria Math"/>
                  <w:i/>
                  <w:sz w:val="24"/>
                  <w:szCs w:val="24"/>
                </w:rPr>
              </m:ctrlPr>
            </m:den>
          </m:f>
        </m:oMath>
      </m:oMathPara>
    </w:p>
    <w:p w14:paraId="18DB2892">
      <w:pPr>
        <w:pStyle w:val="3"/>
        <w:ind w:firstLine="420"/>
        <w:rPr>
          <w:sz w:val="28"/>
          <w:lang w:val="en-US"/>
        </w:rPr>
      </w:pPr>
      <w:r>
        <w:rPr>
          <w:rFonts w:hint="eastAsia"/>
        </w:rPr>
        <w:t>式中：</w:t>
      </w:r>
      <m:oMath>
        <m:r>
          <m:rPr>
            <m:nor/>
          </m:rPr>
          <w:rPr>
            <w:rFonts w:hint="eastAsia" w:ascii="Cambria Math" w:hAnsiTheme="minorEastAsia" w:eastAsiaTheme="minorEastAsia"/>
            <w:i/>
            <w:lang w:val="en-US"/>
          </w:rPr>
          <m:t xml:space="preserve"> </m:t>
        </m:r>
        <m:r>
          <m:rPr>
            <m:nor/>
          </m:rPr>
          <w:rPr>
            <w:rFonts w:hint="eastAsia" w:ascii="Cambria Math" w:hAnsi="Cambria Math"/>
            <w:i/>
          </w:rPr>
          <m:t>LP</m:t>
        </m:r>
        <m:sSub>
          <m:sSubPr>
            <m:ctrlPr>
              <w:rPr>
                <w:rFonts w:ascii="Cambria Math" w:hAnsi="Cambria Math"/>
                <w:i/>
              </w:rPr>
            </m:ctrlPr>
          </m:sSubPr>
          <m:e>
            <m:r>
              <m:rPr/>
              <w:rPr>
                <w:rFonts w:hint="eastAsia" w:ascii="Cambria Math" w:hAnsi="Cambria Math"/>
              </w:rPr>
              <m:t>D</m:t>
            </m:r>
            <m:ctrlPr>
              <w:rPr>
                <w:rFonts w:ascii="Cambria Math" w:hAnsi="Cambria Math"/>
                <w:i/>
              </w:rPr>
            </m:ctrlPr>
          </m:e>
          <m:sub>
            <m:r>
              <m:rPr/>
              <w:rPr>
                <w:rFonts w:hint="eastAsia" w:ascii="Cambria Math" w:hAnsi="Cambria Math"/>
              </w:rPr>
              <m:t>2</m:t>
            </m:r>
            <m:ctrlPr>
              <w:rPr>
                <w:rFonts w:ascii="Cambria Math" w:hAnsi="Cambria Math"/>
                <w:i/>
              </w:rPr>
            </m:ctrlPr>
          </m:sub>
        </m:sSub>
        <m:r>
          <m:rPr/>
          <w:rPr>
            <w:rFonts w:hint="eastAsia" w:ascii="Cambria Math" w:hAnsi="Cambria Math" w:eastAsiaTheme="minorEastAsia"/>
            <w:lang w:val="en-US"/>
          </w:rPr>
          <m:t>——</m:t>
        </m:r>
        <m:r>
          <m:rPr>
            <m:sty m:val="p"/>
          </m:rPr>
          <w:rPr>
            <w:rFonts w:hint="eastAsia" w:ascii="Cambria Math" w:hAnsi="Cambria Math" w:eastAsiaTheme="minorEastAsia"/>
            <w:lang w:val="en-US"/>
          </w:rPr>
          <m:t>局部不满意率</m:t>
        </m:r>
        <m:r>
          <m:rPr>
            <m:sty m:val="p"/>
          </m:rPr>
          <w:rPr>
            <w:rFonts w:ascii="Cambria Math" w:hAnsi="Cambria Math" w:eastAsiaTheme="minorEastAsia"/>
            <w:lang w:val="en-US"/>
          </w:rPr>
          <m:t>（%）</m:t>
        </m:r>
        <m:r>
          <m:rPr>
            <m:sty m:val="p"/>
          </m:rPr>
          <w:rPr>
            <w:rFonts w:hint="eastAsia" w:ascii="Cambria Math" w:hAnsi="Cambria Math" w:eastAsiaTheme="minorEastAsia"/>
            <w:lang w:val="en-US"/>
          </w:rPr>
          <m:t>；</m:t>
        </m:r>
      </m:oMath>
    </w:p>
    <w:p w14:paraId="51423855">
      <w:pPr>
        <w:pStyle w:val="3"/>
        <w:ind w:left="567" w:leftChars="270" w:firstLine="0" w:firstLineChars="0"/>
        <w:jc w:val="left"/>
        <w:rPr>
          <w:sz w:val="28"/>
          <w:lang w:val="en-US"/>
        </w:rPr>
      </w:pPr>
      <m:oMath>
        <m:sSub>
          <m:sSubPr>
            <m:ctrlPr>
              <w:rPr>
                <w:rFonts w:ascii="Cambria Math" w:hAnsi="Cambria Math"/>
                <w:i/>
              </w:rPr>
            </m:ctrlPr>
          </m:sSubPr>
          <m:e>
            <m:r>
              <m:rPr/>
              <w:rPr>
                <w:rFonts w:ascii="Cambria Math" w:hAnsi="Cambria Math"/>
              </w:rPr>
              <m:t xml:space="preserve">           ∆t</m:t>
            </m:r>
            <m:ctrlPr>
              <w:rPr>
                <w:rFonts w:ascii="Cambria Math" w:hAnsi="Cambria Math"/>
                <w:i/>
              </w:rPr>
            </m:ctrlPr>
          </m:e>
          <m:sub>
            <m:r>
              <m:rPr/>
              <w:rPr>
                <w:rFonts w:ascii="Cambria Math" w:hAnsi="Cambria Math"/>
              </w:rPr>
              <m:t>a,v</m:t>
            </m:r>
            <m:ctrlPr>
              <w:rPr>
                <w:rFonts w:ascii="Cambria Math" w:hAnsi="Cambria Math"/>
                <w:i/>
              </w:rPr>
            </m:ctrlPr>
          </m:sub>
        </m:sSub>
        <m:r>
          <m:rPr/>
          <w:rPr>
            <w:rFonts w:hint="eastAsia" w:ascii="Cambria Math" w:hAnsi="Cambria Math"/>
            <w:sz w:val="28"/>
            <w:lang w:val="en-US"/>
          </w:rPr>
          <m:t>——</m:t>
        </m:r>
      </m:oMath>
      <w:r>
        <w:rPr>
          <w:rFonts w:hint="eastAsia"/>
          <w:lang w:val="en-US"/>
        </w:rPr>
        <w:t>头和脚踝之间的垂直空气温度差（℃）。</w:t>
      </w:r>
    </w:p>
    <w:p w14:paraId="077E9BC6">
      <w:pPr>
        <w:pStyle w:val="5"/>
        <w:rPr>
          <w:rFonts w:asciiTheme="minorEastAsia" w:hAnsiTheme="minorEastAsia" w:eastAsiaTheme="minorEastAsia"/>
        </w:rPr>
      </w:pPr>
      <w:bookmarkStart w:id="54" w:name="_Toc27366"/>
      <w:r>
        <w:rPr>
          <w:rFonts w:hint="eastAsia" w:asciiTheme="minorEastAsia" w:hAnsiTheme="minorEastAsia" w:eastAsiaTheme="minorEastAsia"/>
        </w:rPr>
        <w:t>地板表面温度不满意率LPD3计算公式</w:t>
      </w:r>
      <w:bookmarkEnd w:id="54"/>
    </w:p>
    <w:p w14:paraId="10693D10">
      <w:pPr>
        <w:pStyle w:val="3"/>
        <w:ind w:firstLine="480"/>
        <w:rPr>
          <w:i/>
          <w:lang w:val="en-US"/>
        </w:rPr>
      </w:pPr>
      <m:oMathPara>
        <m:oMath>
          <m:r>
            <m:rPr/>
            <w:rPr>
              <w:rFonts w:hint="eastAsia" w:ascii="Cambria Math" w:hAnsi="Cambria Math"/>
              <w:sz w:val="24"/>
              <w:szCs w:val="24"/>
            </w:rPr>
            <m:t>LP</m:t>
          </m:r>
          <m:sSub>
            <m:sSubPr>
              <m:ctrlPr>
                <w:rPr>
                  <w:rFonts w:ascii="Cambria Math" w:hAnsi="Cambria Math"/>
                  <w:i/>
                  <w:sz w:val="24"/>
                  <w:szCs w:val="24"/>
                </w:rPr>
              </m:ctrlPr>
            </m:sSubPr>
            <m:e>
              <m:r>
                <m:rPr/>
                <w:rPr>
                  <w:rFonts w:hint="eastAsia" w:ascii="Cambria Math" w:hAnsi="Cambria Math"/>
                  <w:sz w:val="24"/>
                  <w:szCs w:val="24"/>
                </w:rPr>
                <m:t>D</m:t>
              </m:r>
              <m:ctrlPr>
                <w:rPr>
                  <w:rFonts w:ascii="Cambria Math" w:hAnsi="Cambria Math"/>
                  <w:i/>
                  <w:sz w:val="24"/>
                  <w:szCs w:val="24"/>
                </w:rPr>
              </m:ctrlPr>
            </m:e>
            <m:sub>
              <m:r>
                <m:rPr/>
                <w:rPr>
                  <w:rFonts w:ascii="Cambria Math" w:hAnsi="Cambria Math"/>
                  <w:sz w:val="24"/>
                  <w:szCs w:val="24"/>
                </w:rPr>
                <m:t>3</m:t>
              </m:r>
              <m:ctrlPr>
                <w:rPr>
                  <w:rFonts w:ascii="Cambria Math" w:hAnsi="Cambria Math"/>
                  <w:i/>
                  <w:sz w:val="24"/>
                  <w:szCs w:val="24"/>
                </w:rPr>
              </m:ctrlPr>
            </m:sub>
          </m:sSub>
          <m:r>
            <m:rPr/>
            <w:rPr>
              <w:rFonts w:ascii="Cambria Math" w:hAnsi="Cambria Math"/>
              <w:sz w:val="24"/>
              <w:szCs w:val="24"/>
            </w:rPr>
            <m:t>=100−94∙exp⁡(−1.387+0.118∙</m:t>
          </m:r>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f</m:t>
              </m:r>
              <m:ctrlPr>
                <w:rPr>
                  <w:rFonts w:ascii="Cambria Math" w:hAnsi="Cambria Math"/>
                  <w:i/>
                  <w:sz w:val="24"/>
                  <w:szCs w:val="24"/>
                </w:rPr>
              </m:ctrlPr>
            </m:sub>
          </m:sSub>
          <m:r>
            <m:rPr/>
            <w:rPr>
              <w:rFonts w:ascii="Cambria Math" w:hAnsi="Cambria Math"/>
              <w:sz w:val="24"/>
              <w:szCs w:val="24"/>
            </w:rPr>
            <m:t>−0.0025∙</m:t>
          </m:r>
          <m:sSup>
            <m:sSupPr>
              <m:ctrlPr>
                <w:rPr>
                  <w:rFonts w:ascii="Cambria Math" w:hAnsi="Cambria Math"/>
                  <w:i/>
                  <w:sz w:val="24"/>
                  <w:szCs w:val="24"/>
                </w:rPr>
              </m:ctrlPr>
            </m:sSupPr>
            <m:e>
              <m:sSub>
                <m:sSubPr>
                  <m:ctrlPr>
                    <w:rPr>
                      <w:rFonts w:ascii="Cambria Math" w:hAnsi="Cambria Math"/>
                      <w:i/>
                      <w:sz w:val="24"/>
                      <w:szCs w:val="24"/>
                    </w:rPr>
                  </m:ctrlPr>
                </m:sSubPr>
                <m:e>
                  <m:r>
                    <m:rPr/>
                    <w:rPr>
                      <w:rFonts w:ascii="Cambria Math" w:hAnsi="Cambria Math"/>
                      <w:sz w:val="24"/>
                      <w:szCs w:val="24"/>
                    </w:rPr>
                    <m:t>t</m:t>
                  </m:r>
                  <m:ctrlPr>
                    <w:rPr>
                      <w:rFonts w:ascii="Cambria Math" w:hAnsi="Cambria Math"/>
                      <w:i/>
                      <w:sz w:val="24"/>
                      <w:szCs w:val="24"/>
                    </w:rPr>
                  </m:ctrlPr>
                </m:e>
                <m:sub>
                  <m:r>
                    <m:rPr/>
                    <w:rPr>
                      <w:rFonts w:ascii="Cambria Math" w:hAnsi="Cambria Math"/>
                      <w:sz w:val="24"/>
                      <w:szCs w:val="24"/>
                    </w:rPr>
                    <m:t>f</m:t>
                  </m:r>
                  <m:ctrlPr>
                    <w:rPr>
                      <w:rFonts w:ascii="Cambria Math" w:hAnsi="Cambria Math"/>
                      <w:i/>
                      <w:sz w:val="24"/>
                      <w:szCs w:val="24"/>
                    </w:rPr>
                  </m:ctrlPr>
                </m:sub>
              </m:sSub>
              <m:ctrlPr>
                <w:rPr>
                  <w:rFonts w:ascii="Cambria Math" w:hAnsi="Cambria Math"/>
                  <w:i/>
                  <w:sz w:val="24"/>
                  <w:szCs w:val="24"/>
                </w:rPr>
              </m:ctrlPr>
            </m:e>
            <m:sup>
              <m:r>
                <m:rPr/>
                <w:rPr>
                  <w:rFonts w:ascii="Cambria Math" w:hAnsi="Cambria Math"/>
                  <w:sz w:val="24"/>
                  <w:szCs w:val="24"/>
                </w:rPr>
                <m:t>2</m:t>
              </m:r>
              <m:ctrlPr>
                <w:rPr>
                  <w:rFonts w:ascii="Cambria Math" w:hAnsi="Cambria Math"/>
                  <w:i/>
                  <w:sz w:val="24"/>
                  <w:szCs w:val="24"/>
                </w:rPr>
              </m:ctrlPr>
            </m:sup>
          </m:sSup>
          <m:r>
            <m:rPr/>
            <w:rPr>
              <w:rFonts w:ascii="Cambria Math" w:hAnsi="Cambria Math"/>
              <w:sz w:val="24"/>
              <w:szCs w:val="24"/>
            </w:rPr>
            <m:t>)</m:t>
          </m:r>
        </m:oMath>
      </m:oMathPara>
    </w:p>
    <w:p w14:paraId="006D5B60">
      <w:pPr>
        <w:pStyle w:val="3"/>
        <w:ind w:firstLine="420"/>
        <w:rPr>
          <w:sz w:val="24"/>
          <w:lang w:val="en-US"/>
        </w:rPr>
      </w:pPr>
      <w:r>
        <w:rPr>
          <w:rFonts w:hint="eastAsia"/>
          <w:lang w:val="en-US"/>
        </w:rPr>
        <w:t>式中：</w:t>
      </w:r>
      <m:oMath>
        <m:r>
          <m:rPr/>
          <w:rPr>
            <w:rFonts w:hint="eastAsia" w:ascii="Cambria Math" w:hAnsi="Cambria Math"/>
          </w:rPr>
          <m:t>LP</m:t>
        </m:r>
        <m:sSub>
          <m:sSubPr>
            <m:ctrlPr>
              <w:rPr>
                <w:rFonts w:ascii="Cambria Math" w:hAnsi="Cambria Math"/>
                <w:i/>
              </w:rPr>
            </m:ctrlPr>
          </m:sSubPr>
          <m:e>
            <m:r>
              <m:rPr/>
              <w:rPr>
                <w:rFonts w:hint="eastAsia" w:ascii="Cambria Math" w:hAnsi="Cambria Math"/>
              </w:rPr>
              <m:t>D</m:t>
            </m:r>
            <m:ctrlPr>
              <w:rPr>
                <w:rFonts w:ascii="Cambria Math" w:hAnsi="Cambria Math"/>
                <w:i/>
              </w:rPr>
            </m:ctrlPr>
          </m:e>
          <m:sub>
            <m:r>
              <m:rPr/>
              <w:rPr>
                <w:rFonts w:ascii="Cambria Math" w:hAnsi="Cambria Math"/>
              </w:rPr>
              <m:t>3</m:t>
            </m:r>
            <m:ctrlPr>
              <w:rPr>
                <w:rFonts w:ascii="Cambria Math" w:hAnsi="Cambria Math"/>
                <w:i/>
              </w:rPr>
            </m:ctrlPr>
          </m:sub>
        </m:sSub>
      </m:oMath>
      <w:r>
        <w:rPr>
          <w:rFonts w:hint="eastAsia"/>
          <w:sz w:val="24"/>
          <w:lang w:val="en-US"/>
        </w:rPr>
        <w:t>——局部不满意率（%）；</w:t>
      </w:r>
    </w:p>
    <w:p w14:paraId="4E785A49">
      <w:pPr>
        <w:pStyle w:val="3"/>
        <w:ind w:left="426" w:leftChars="203" w:firstLine="0" w:firstLineChars="0"/>
        <w:rPr>
          <w:lang w:val="en-US"/>
        </w:rPr>
      </w:pPr>
      <m:oMath>
        <m:sSub>
          <m:sSubPr>
            <m:ctrlPr>
              <w:rPr>
                <w:rFonts w:ascii="Cambria Math" w:hAnsi="Cambria Math"/>
                <w:i/>
              </w:rPr>
            </m:ctrlPr>
          </m:sSubPr>
          <m:e>
            <m:r>
              <m:rPr/>
              <w:rPr>
                <w:rFonts w:ascii="Cambria Math" w:hAnsi="Cambria Math"/>
              </w:rPr>
              <m:t xml:space="preserve">             t</m:t>
            </m:r>
            <m:ctrlPr>
              <w:rPr>
                <w:rFonts w:ascii="Cambria Math" w:hAnsi="Cambria Math"/>
                <w:i/>
              </w:rPr>
            </m:ctrlPr>
          </m:e>
          <m:sub>
            <m:r>
              <m:rPr/>
              <w:rPr>
                <w:rFonts w:ascii="Cambria Math" w:hAnsi="Cambria Math"/>
              </w:rPr>
              <m:t>f</m:t>
            </m:r>
            <m:ctrlPr>
              <w:rPr>
                <w:rFonts w:ascii="Cambria Math" w:hAnsi="Cambria Math"/>
                <w:i/>
              </w:rPr>
            </m:ctrlPr>
          </m:sub>
        </m:sSub>
      </m:oMath>
      <w:r>
        <w:rPr>
          <w:rFonts w:hint="eastAsia"/>
          <w:lang w:val="en-US"/>
        </w:rPr>
        <w:t>——地板表面平均温度（℃）。</w:t>
      </w:r>
    </w:p>
    <w:p w14:paraId="033B4D5E">
      <w:pPr>
        <w:pStyle w:val="2"/>
      </w:pPr>
      <w:bookmarkStart w:id="55" w:name="_Toc3745"/>
      <w:bookmarkStart w:id="56" w:name="_Toc452108768"/>
      <w:bookmarkStart w:id="57" w:name="_Toc8437"/>
      <w:r>
        <w:rPr>
          <w:rFonts w:hint="eastAsia"/>
        </w:rPr>
        <w:t>结果</w:t>
      </w:r>
      <w:r>
        <w:t>分析</w:t>
      </w:r>
      <w:bookmarkEnd w:id="55"/>
      <w:bookmarkEnd w:id="56"/>
      <w:bookmarkEnd w:id="57"/>
    </w:p>
    <w:p w14:paraId="31DADB2E">
      <w:pPr>
        <w:pStyle w:val="3"/>
        <w:ind w:firstLine="420"/>
        <w:rPr>
          <w:lang w:val="en-US"/>
        </w:rPr>
      </w:pPr>
      <w:r>
        <w:rPr>
          <w:rFonts w:hint="eastAsia"/>
          <w:lang w:val="en-US"/>
        </w:rPr>
        <w:t>该项目基于</w:t>
      </w:r>
      <w:r>
        <w:rPr>
          <w:lang w:val="en-US"/>
        </w:rPr>
        <w:t>以下参数计算</w:t>
      </w:r>
      <w:r>
        <w:rPr>
          <w:rFonts w:hint="eastAsia"/>
          <w:lang w:val="en-US"/>
        </w:rPr>
        <w:t>室内温度场和速度场，再进行室内热湿环境整体评价指标和局部评价指标的计算。</w:t>
      </w:r>
    </w:p>
    <w:tbl>
      <w:tblPr>
        <w:tblStyle w:val="21"/>
        <w:tblW w:w="10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4213"/>
        <w:gridCol w:w="1104"/>
        <w:gridCol w:w="1075"/>
        <w:gridCol w:w="1075"/>
        <w:gridCol w:w="1068"/>
        <w:gridCol w:w="1058"/>
      </w:tblGrid>
      <w:tr w14:paraId="01BCB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274C9B34">
            <w:pPr>
              <w:pStyle w:val="3"/>
              <w:spacing w:line="0" w:lineRule="atLeast"/>
              <w:ind w:firstLine="0" w:firstLineChars="0"/>
              <w:jc w:val="center"/>
            </w:pPr>
            <w:bookmarkStart w:id="58" w:name="计算工况表"/>
            <w:r>
              <w:rPr>
                <w:rFonts w:hint="eastAsia"/>
              </w:rPr>
              <w:t>序号</w:t>
            </w:r>
          </w:p>
        </w:tc>
        <w:tc>
          <w:tcPr>
            <w:tcW w:w="4213" w:type="dxa"/>
            <w:shd w:val="clear" w:color="auto" w:fill="E6E6E6"/>
            <w:vAlign w:val="center"/>
          </w:tcPr>
          <w:p w14:paraId="6D06B494">
            <w:pPr>
              <w:pStyle w:val="3"/>
              <w:spacing w:line="0" w:lineRule="atLeast"/>
              <w:ind w:firstLine="0" w:firstLineChars="0"/>
              <w:jc w:val="center"/>
            </w:pPr>
            <w:r>
              <w:rPr>
                <w:rFonts w:hint="eastAsia"/>
              </w:rPr>
              <w:t>分析对象名称</w:t>
            </w:r>
          </w:p>
        </w:tc>
        <w:tc>
          <w:tcPr>
            <w:tcW w:w="1104" w:type="dxa"/>
            <w:shd w:val="clear" w:color="auto" w:fill="E6E6E6"/>
            <w:vAlign w:val="center"/>
          </w:tcPr>
          <w:p w14:paraId="3238B66C">
            <w:pPr>
              <w:pStyle w:val="3"/>
              <w:spacing w:line="0" w:lineRule="atLeast"/>
              <w:ind w:firstLine="0" w:firstLineChars="0"/>
            </w:pPr>
            <w:r>
              <w:rPr>
                <w:rFonts w:hint="eastAsia"/>
              </w:rPr>
              <w:t>室外温度</w:t>
            </w:r>
          </w:p>
          <w:p w14:paraId="1F7069DA">
            <w:pPr>
              <w:pStyle w:val="3"/>
              <w:spacing w:line="0" w:lineRule="atLeast"/>
              <w:ind w:firstLine="0" w:firstLineChars="0"/>
              <w:jc w:val="center"/>
            </w:pPr>
            <w:r>
              <w:t>(</w:t>
            </w:r>
            <w:r>
              <w:rPr>
                <w:rFonts w:hint="eastAsia"/>
              </w:rPr>
              <w:t>℃</w:t>
            </w:r>
            <w:r>
              <w:t>)</w:t>
            </w:r>
          </w:p>
        </w:tc>
        <w:tc>
          <w:tcPr>
            <w:tcW w:w="1075" w:type="dxa"/>
            <w:shd w:val="clear" w:color="auto" w:fill="E6E6E6"/>
            <w:vAlign w:val="center"/>
          </w:tcPr>
          <w:p w14:paraId="182E2B4E">
            <w:pPr>
              <w:pStyle w:val="3"/>
              <w:spacing w:line="0" w:lineRule="atLeast"/>
              <w:ind w:firstLine="0" w:firstLineChars="0"/>
              <w:jc w:val="center"/>
            </w:pPr>
            <w:r>
              <w:rPr>
                <w:rFonts w:hint="eastAsia"/>
              </w:rPr>
              <w:t>人体代谢</w:t>
            </w:r>
          </w:p>
          <w:p w14:paraId="47BED4F8">
            <w:pPr>
              <w:pStyle w:val="3"/>
              <w:spacing w:line="0" w:lineRule="atLeast"/>
              <w:ind w:firstLine="0" w:firstLineChars="0"/>
              <w:jc w:val="center"/>
            </w:pPr>
            <w:r>
              <w:t>(</w:t>
            </w:r>
            <w:r>
              <w:rPr>
                <w:rFonts w:hint="eastAsia"/>
              </w:rPr>
              <w:t>met</w:t>
            </w:r>
            <w:r>
              <w:t>)</w:t>
            </w:r>
          </w:p>
        </w:tc>
        <w:tc>
          <w:tcPr>
            <w:tcW w:w="1075" w:type="dxa"/>
            <w:shd w:val="clear" w:color="auto" w:fill="E6E6E6"/>
            <w:vAlign w:val="center"/>
          </w:tcPr>
          <w:p w14:paraId="3A416158">
            <w:pPr>
              <w:pStyle w:val="3"/>
              <w:spacing w:line="0" w:lineRule="atLeast"/>
              <w:ind w:firstLine="0" w:firstLineChars="0"/>
              <w:jc w:val="center"/>
            </w:pPr>
            <w:r>
              <w:rPr>
                <w:rFonts w:hint="eastAsia"/>
              </w:rPr>
              <w:t>对外做功</w:t>
            </w:r>
          </w:p>
          <w:p w14:paraId="0BC89173">
            <w:pPr>
              <w:pStyle w:val="3"/>
              <w:spacing w:line="0" w:lineRule="atLeast"/>
              <w:ind w:firstLine="0" w:firstLineChars="0"/>
              <w:jc w:val="center"/>
            </w:pPr>
            <w:r>
              <w:t>(</w:t>
            </w:r>
            <w:r>
              <w:rPr>
                <w:rFonts w:hint="eastAsia"/>
              </w:rPr>
              <w:t>met</w:t>
            </w:r>
            <w:r>
              <w:t>)</w:t>
            </w:r>
          </w:p>
        </w:tc>
        <w:tc>
          <w:tcPr>
            <w:tcW w:w="1068" w:type="dxa"/>
            <w:shd w:val="clear" w:color="auto" w:fill="E6E6E6"/>
            <w:vAlign w:val="center"/>
          </w:tcPr>
          <w:p w14:paraId="4909FF8F">
            <w:pPr>
              <w:pStyle w:val="3"/>
              <w:spacing w:line="0" w:lineRule="atLeast"/>
              <w:ind w:firstLine="0" w:firstLineChars="0"/>
              <w:jc w:val="center"/>
            </w:pPr>
            <w:r>
              <w:rPr>
                <w:rFonts w:hint="eastAsia"/>
              </w:rPr>
              <w:t>服装热阻</w:t>
            </w:r>
          </w:p>
          <w:p w14:paraId="4D310659">
            <w:pPr>
              <w:pStyle w:val="3"/>
              <w:spacing w:line="0" w:lineRule="atLeast"/>
              <w:ind w:firstLine="0" w:firstLineChars="0"/>
              <w:jc w:val="center"/>
            </w:pPr>
            <w:r>
              <w:t>(</w:t>
            </w:r>
            <w:r>
              <w:rPr>
                <w:rFonts w:hint="eastAsia"/>
              </w:rPr>
              <w:t>clo</w:t>
            </w:r>
            <w:r>
              <w:t>)</w:t>
            </w:r>
          </w:p>
        </w:tc>
        <w:tc>
          <w:tcPr>
            <w:tcW w:w="1058" w:type="dxa"/>
            <w:shd w:val="clear" w:color="auto" w:fill="E6E6E6"/>
            <w:vAlign w:val="center"/>
          </w:tcPr>
          <w:p w14:paraId="3048683C">
            <w:pPr>
              <w:pStyle w:val="3"/>
              <w:spacing w:line="0" w:lineRule="atLeast"/>
              <w:ind w:firstLine="0" w:firstLineChars="0"/>
              <w:jc w:val="center"/>
            </w:pPr>
            <w:r>
              <w:rPr>
                <w:rFonts w:hint="eastAsia"/>
              </w:rPr>
              <w:t>相对湿度</w:t>
            </w:r>
          </w:p>
          <w:p w14:paraId="7C6F2840">
            <w:pPr>
              <w:pStyle w:val="3"/>
              <w:spacing w:line="0" w:lineRule="atLeast"/>
              <w:ind w:firstLine="0" w:firstLineChars="0"/>
              <w:jc w:val="center"/>
            </w:pPr>
            <w:r>
              <w:t>(</w:t>
            </w:r>
            <w:r>
              <w:rPr>
                <w:rFonts w:hint="eastAsia"/>
              </w:rPr>
              <w:t>%</w:t>
            </w:r>
            <w:r>
              <w:t>)</w:t>
            </w:r>
          </w:p>
        </w:tc>
      </w:tr>
      <w:tr w14:paraId="18183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67D22AB4">
            <w:pPr>
              <w:pStyle w:val="3"/>
              <w:ind w:firstLine="0" w:firstLineChars="0"/>
              <w:jc w:val="right"/>
            </w:pPr>
            <w:r>
              <w:t>1</w:t>
            </w:r>
          </w:p>
        </w:tc>
        <w:tc>
          <w:tcPr>
            <w:tcW w:w="4213" w:type="dxa"/>
          </w:tcPr>
          <w:p w14:paraId="0B1F8425">
            <w:pPr>
              <w:pStyle w:val="3"/>
              <w:ind w:firstLine="0" w:firstLineChars="0"/>
            </w:pPr>
            <w:r>
              <w:t>区域1</w:t>
            </w:r>
          </w:p>
        </w:tc>
        <w:tc>
          <w:tcPr>
            <w:tcW w:w="1104" w:type="dxa"/>
            <w:vAlign w:val="center"/>
          </w:tcPr>
          <w:p w14:paraId="27AA9FC7">
            <w:pPr>
              <w:pStyle w:val="3"/>
              <w:ind w:firstLine="0" w:firstLineChars="0"/>
            </w:pPr>
            <w:r>
              <w:t>25</w:t>
            </w:r>
          </w:p>
        </w:tc>
        <w:tc>
          <w:tcPr>
            <w:tcW w:w="1075" w:type="dxa"/>
          </w:tcPr>
          <w:p w14:paraId="4BD7E6F8">
            <w:pPr>
              <w:pStyle w:val="3"/>
              <w:ind w:firstLine="0" w:firstLineChars="0"/>
            </w:pPr>
            <w:r>
              <w:t>1</w:t>
            </w:r>
          </w:p>
        </w:tc>
        <w:tc>
          <w:tcPr>
            <w:tcW w:w="1075" w:type="dxa"/>
          </w:tcPr>
          <w:p w14:paraId="74ACAAD7">
            <w:pPr>
              <w:pStyle w:val="3"/>
              <w:ind w:firstLine="0" w:firstLineChars="0"/>
            </w:pPr>
            <w:r>
              <w:t>0</w:t>
            </w:r>
          </w:p>
        </w:tc>
        <w:tc>
          <w:tcPr>
            <w:tcW w:w="1068" w:type="dxa"/>
          </w:tcPr>
          <w:p w14:paraId="178EF77D">
            <w:pPr>
              <w:pStyle w:val="3"/>
              <w:ind w:firstLine="0" w:firstLineChars="0"/>
            </w:pPr>
            <w:r>
              <w:t>0.6</w:t>
            </w:r>
          </w:p>
        </w:tc>
        <w:tc>
          <w:tcPr>
            <w:tcW w:w="1058" w:type="dxa"/>
          </w:tcPr>
          <w:p w14:paraId="28C69A8D">
            <w:pPr>
              <w:pStyle w:val="3"/>
              <w:ind w:firstLine="0" w:firstLineChars="0"/>
            </w:pPr>
            <w:r>
              <w:t>50</w:t>
            </w:r>
          </w:p>
        </w:tc>
      </w:tr>
      <w:bookmarkEnd w:id="58"/>
    </w:tbl>
    <w:p w14:paraId="35C68C2A">
      <w:pPr>
        <w:pStyle w:val="3"/>
        <w:ind w:firstLine="0" w:firstLineChars="0"/>
      </w:pPr>
    </w:p>
    <w:p w14:paraId="525F4E28">
      <w:pPr>
        <w:pStyle w:val="4"/>
      </w:pPr>
      <w:bookmarkStart w:id="59" w:name="_Toc27408"/>
      <w:r>
        <w:rPr>
          <w:rFonts w:hint="eastAsia"/>
        </w:rPr>
        <w:t>室内热湿环境整体评价指标</w:t>
      </w:r>
      <w:bookmarkEnd w:id="59"/>
    </w:p>
    <w:p w14:paraId="275FA060">
      <w:pPr>
        <w:pStyle w:val="5"/>
      </w:pPr>
      <w:bookmarkStart w:id="60" w:name="_Toc25242"/>
      <w:r>
        <w:rPr>
          <w:rFonts w:hint="eastAsia"/>
        </w:rPr>
        <w:t>人行高度处分布图</w:t>
      </w:r>
      <w:bookmarkEnd w:id="60"/>
    </w:p>
    <w:p w14:paraId="4FC82817">
      <w:pPr>
        <w:pStyle w:val="3"/>
        <w:ind w:firstLine="420"/>
        <w:jc w:val="center"/>
        <w:rPr>
          <w:lang w:val="en-US"/>
        </w:rPr>
      </w:pPr>
      <w:bookmarkStart w:id="61" w:name="温度场分布"/>
      <w:bookmarkEnd w:id="61"/>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p w14:paraId="7FAE715D">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人行高度处温度场分布</w:t>
      </w:r>
    </w:p>
    <w:p w14:paraId="0701BC56">
      <w:pPr>
        <w:pStyle w:val="3"/>
        <w:ind w:firstLine="420"/>
        <w:jc w:val="center"/>
        <w:rPr>
          <w:lang w:val="en-US"/>
        </w:rPr>
      </w:pPr>
      <w:bookmarkStart w:id="62" w:name="速度云图"/>
      <w:bookmarkEnd w:id="62"/>
      <w:r>
        <w:drawing>
          <wp:inline distT="0" distB="0" distL="0" distR="0">
            <wp:extent cx="5667375" cy="37528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8"/>
                    <a:stretch>
                      <a:fillRect/>
                    </a:stretch>
                  </pic:blipFill>
                  <pic:spPr>
                    <a:xfrm>
                      <a:off x="0" y="0"/>
                      <a:ext cx="5667375" cy="3752850"/>
                    </a:xfrm>
                    <a:prstGeom prst="rect">
                      <a:avLst/>
                    </a:prstGeom>
                  </pic:spPr>
                </pic:pic>
              </a:graphicData>
            </a:graphic>
          </wp:inline>
        </w:drawing>
      </w:r>
    </w:p>
    <w:p w14:paraId="2BEB05E5">
      <w:pPr>
        <w:pStyle w:val="3"/>
        <w:ind w:firstLine="40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人行高度处速度云图</w:t>
      </w:r>
    </w:p>
    <w:p w14:paraId="7B2361E9">
      <w:pPr>
        <w:pStyle w:val="3"/>
        <w:ind w:firstLine="400"/>
        <w:jc w:val="center"/>
        <w:rPr>
          <w:rFonts w:ascii="黑体" w:hAnsi="黑体" w:eastAsia="黑体"/>
          <w:sz w:val="20"/>
          <w:szCs w:val="20"/>
        </w:rPr>
      </w:pPr>
    </w:p>
    <w:p w14:paraId="38EE2BCE">
      <w:pPr>
        <w:pStyle w:val="3"/>
        <w:ind w:firstLine="420"/>
        <w:jc w:val="center"/>
        <w:rPr>
          <w:lang w:val="en-US"/>
        </w:rPr>
      </w:pPr>
      <w:bookmarkStart w:id="63" w:name="PMV分布"/>
      <w:bookmarkEnd w:id="63"/>
      <w:r>
        <w:drawing>
          <wp:inline distT="0" distB="0" distL="0" distR="0">
            <wp:extent cx="5667375" cy="3752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59"/>
                    <a:stretch>
                      <a:fillRect/>
                    </a:stretch>
                  </pic:blipFill>
                  <pic:spPr>
                    <a:xfrm>
                      <a:off x="0" y="0"/>
                      <a:ext cx="5667375" cy="3752850"/>
                    </a:xfrm>
                    <a:prstGeom prst="rect">
                      <a:avLst/>
                    </a:prstGeom>
                  </pic:spPr>
                </pic:pic>
              </a:graphicData>
            </a:graphic>
          </wp:inline>
        </w:drawing>
      </w:r>
    </w:p>
    <w:p w14:paraId="04CCE0B3">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人行高度处PMV分布</w:t>
      </w:r>
    </w:p>
    <w:bookmarkEnd w:id="1"/>
    <w:bookmarkEnd w:id="2"/>
    <w:bookmarkEnd w:id="3"/>
    <w:p w14:paraId="37F7C67E">
      <w:pPr>
        <w:pStyle w:val="3"/>
        <w:ind w:firstLine="420"/>
        <w:jc w:val="center"/>
        <w:rPr>
          <w:lang w:val="en-US"/>
        </w:rPr>
      </w:pPr>
      <w:bookmarkStart w:id="64" w:name="PPD分布"/>
      <w:bookmarkEnd w:id="64"/>
      <w:r>
        <w:drawing>
          <wp:inline distT="0" distB="0" distL="0" distR="0">
            <wp:extent cx="5667375" cy="3752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60"/>
                    <a:stretch>
                      <a:fillRect/>
                    </a:stretch>
                  </pic:blipFill>
                  <pic:spPr>
                    <a:xfrm>
                      <a:off x="0" y="0"/>
                      <a:ext cx="5667375" cy="3752850"/>
                    </a:xfrm>
                    <a:prstGeom prst="rect">
                      <a:avLst/>
                    </a:prstGeom>
                  </pic:spPr>
                </pic:pic>
              </a:graphicData>
            </a:graphic>
          </wp:inline>
        </w:drawing>
      </w:r>
    </w:p>
    <w:p w14:paraId="0B889A8C">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人行高度处P</w:t>
      </w:r>
      <w:r>
        <w:rPr>
          <w:rFonts w:ascii="黑体" w:hAnsi="黑体" w:eastAsia="黑体"/>
          <w:sz w:val="20"/>
          <w:szCs w:val="20"/>
        </w:rPr>
        <w:t>PD</w:t>
      </w:r>
      <w:r>
        <w:rPr>
          <w:rFonts w:hint="eastAsia" w:ascii="黑体" w:hAnsi="黑体" w:eastAsia="黑体"/>
          <w:sz w:val="20"/>
          <w:szCs w:val="20"/>
        </w:rPr>
        <w:t>分布</w:t>
      </w:r>
    </w:p>
    <w:p w14:paraId="3FB71B22">
      <w:pPr>
        <w:pStyle w:val="3"/>
        <w:ind w:firstLine="420"/>
        <w:jc w:val="center"/>
      </w:pPr>
      <w:bookmarkStart w:id="65" w:name="LPD1分布"/>
      <w:bookmarkEnd w:id="65"/>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61"/>
                    <a:stretch>
                      <a:fillRect/>
                    </a:stretch>
                  </pic:blipFill>
                  <pic:spPr>
                    <a:xfrm>
                      <a:off x="0" y="0"/>
                      <a:ext cx="5667375" cy="3752850"/>
                    </a:xfrm>
                    <a:prstGeom prst="rect">
                      <a:avLst/>
                    </a:prstGeom>
                  </pic:spPr>
                </pic:pic>
              </a:graphicData>
            </a:graphic>
          </wp:inline>
        </w:drawing>
      </w:r>
    </w:p>
    <w:p w14:paraId="409F62B5">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D1</w:t>
      </w:r>
      <w:r>
        <w:rPr>
          <w:rFonts w:hint="eastAsia" w:ascii="黑体" w:hAnsi="黑体" w:eastAsia="黑体"/>
          <w:sz w:val="20"/>
          <w:szCs w:val="20"/>
        </w:rPr>
        <w:t>分布</w:t>
      </w:r>
    </w:p>
    <w:p w14:paraId="6EA3009E">
      <w:pPr>
        <w:pStyle w:val="3"/>
        <w:ind w:firstLine="420"/>
        <w:jc w:val="center"/>
      </w:pPr>
      <w:bookmarkStart w:id="66" w:name="LPD2分布"/>
      <w:bookmarkEnd w:id="66"/>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62"/>
                    <a:stretch>
                      <a:fillRect/>
                    </a:stretch>
                  </pic:blipFill>
                  <pic:spPr>
                    <a:xfrm>
                      <a:off x="0" y="0"/>
                      <a:ext cx="5667375" cy="3752850"/>
                    </a:xfrm>
                    <a:prstGeom prst="rect">
                      <a:avLst/>
                    </a:prstGeom>
                  </pic:spPr>
                </pic:pic>
              </a:graphicData>
            </a:graphic>
          </wp:inline>
        </w:drawing>
      </w:r>
    </w:p>
    <w:p w14:paraId="1669191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D2</w:t>
      </w:r>
      <w:r>
        <w:rPr>
          <w:rFonts w:hint="eastAsia" w:ascii="黑体" w:hAnsi="黑体" w:eastAsia="黑体"/>
          <w:sz w:val="20"/>
          <w:szCs w:val="20"/>
        </w:rPr>
        <w:t>分布</w:t>
      </w:r>
    </w:p>
    <w:p w14:paraId="414BE684">
      <w:pPr>
        <w:pStyle w:val="3"/>
        <w:ind w:firstLine="420"/>
        <w:jc w:val="center"/>
      </w:pPr>
      <w:bookmarkStart w:id="67" w:name="LPD3分布"/>
      <w:bookmarkEnd w:id="67"/>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63"/>
                    <a:stretch>
                      <a:fillRect/>
                    </a:stretch>
                  </pic:blipFill>
                  <pic:spPr>
                    <a:xfrm>
                      <a:off x="0" y="0"/>
                      <a:ext cx="5667375" cy="3752850"/>
                    </a:xfrm>
                    <a:prstGeom prst="rect">
                      <a:avLst/>
                    </a:prstGeom>
                  </pic:spPr>
                </pic:pic>
              </a:graphicData>
            </a:graphic>
          </wp:inline>
        </w:drawing>
      </w:r>
    </w:p>
    <w:p w14:paraId="16BDDD9E">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7</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D3</w:t>
      </w:r>
      <w:r>
        <w:rPr>
          <w:rFonts w:hint="eastAsia" w:ascii="黑体" w:hAnsi="黑体" w:eastAsia="黑体"/>
          <w:sz w:val="20"/>
          <w:szCs w:val="20"/>
        </w:rPr>
        <w:t>分布</w:t>
      </w:r>
    </w:p>
    <w:p w14:paraId="7B9F6255">
      <w:pPr>
        <w:pStyle w:val="3"/>
        <w:ind w:firstLine="420"/>
        <w:jc w:val="center"/>
      </w:pPr>
      <w:bookmarkStart w:id="68" w:name="LPDL分布"/>
      <w:bookmarkEnd w:id="68"/>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64"/>
                    <a:stretch>
                      <a:fillRect/>
                    </a:stretch>
                  </pic:blipFill>
                  <pic:spPr>
                    <a:xfrm>
                      <a:off x="0" y="0"/>
                      <a:ext cx="5667375" cy="3752850"/>
                    </a:xfrm>
                    <a:prstGeom prst="rect">
                      <a:avLst/>
                    </a:prstGeom>
                  </pic:spPr>
                </pic:pic>
              </a:graphicData>
            </a:graphic>
          </wp:inline>
        </w:drawing>
      </w:r>
    </w:p>
    <w:p w14:paraId="634FC538">
      <w:pPr>
        <w:pStyle w:val="3"/>
        <w:ind w:firstLine="40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6.1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8</w:t>
      </w:r>
      <w:r>
        <w:rPr>
          <w:rFonts w:ascii="黑体" w:hAnsi="黑体" w:eastAsia="黑体"/>
          <w:sz w:val="20"/>
          <w:szCs w:val="20"/>
        </w:rPr>
        <w:fldChar w:fldCharType="end"/>
      </w:r>
      <w:r>
        <w:rPr>
          <w:rFonts w:hint="eastAsia" w:ascii="黑体" w:hAnsi="黑体" w:eastAsia="黑体"/>
          <w:sz w:val="20"/>
          <w:szCs w:val="20"/>
        </w:rPr>
        <w:t>人行高度处LP</w:t>
      </w:r>
      <w:r>
        <w:rPr>
          <w:rFonts w:ascii="黑体" w:hAnsi="黑体" w:eastAsia="黑体"/>
          <w:sz w:val="20"/>
          <w:szCs w:val="20"/>
        </w:rPr>
        <w:t>D</w:t>
      </w:r>
      <w:r>
        <w:rPr>
          <w:rFonts w:hint="eastAsia" w:ascii="黑体" w:hAnsi="黑体" w:eastAsia="黑体"/>
          <w:sz w:val="20"/>
          <w:szCs w:val="20"/>
        </w:rPr>
        <w:t>等级分布</w:t>
      </w:r>
    </w:p>
    <w:p w14:paraId="3765F801">
      <w:pPr>
        <w:pStyle w:val="3"/>
        <w:ind w:firstLine="420"/>
        <w:jc w:val="center"/>
      </w:pPr>
    </w:p>
    <w:p w14:paraId="5BF1B33C">
      <w:pPr>
        <w:pStyle w:val="3"/>
        <w:ind w:firstLine="420"/>
        <w:rPr>
          <w:lang w:val="en-US"/>
        </w:rPr>
      </w:pPr>
      <w:bookmarkStart w:id="69" w:name="结果分析"/>
      <w:bookmarkEnd w:id="69"/>
    </w:p>
    <w:p w14:paraId="12EF498A">
      <w:pPr>
        <w:pStyle w:val="5"/>
      </w:pPr>
      <w:bookmarkStart w:id="70" w:name="_Toc57236364"/>
      <w:bookmarkStart w:id="71" w:name="_Toc27225"/>
      <w:r>
        <w:rPr>
          <w:rFonts w:hint="eastAsia"/>
        </w:rPr>
        <w:t>室内PMV与PPD达标</w:t>
      </w:r>
      <w:bookmarkEnd w:id="70"/>
      <w:r>
        <w:rPr>
          <w:rFonts w:hint="eastAsia"/>
        </w:rPr>
        <w:t>判定</w:t>
      </w:r>
      <w:bookmarkEnd w:id="71"/>
    </w:p>
    <w:p w14:paraId="783F39AE">
      <w:pPr>
        <w:pStyle w:val="3"/>
        <w:ind w:firstLine="420"/>
        <w:rPr>
          <w:lang w:val="en-US"/>
        </w:rPr>
      </w:pPr>
      <w:r>
        <w:rPr>
          <w:rFonts w:hint="eastAsia"/>
          <w:lang w:val="en-US"/>
        </w:rPr>
        <w:t>《民用建筑室内热湿环境评价标准》GB/T 50785-2012中给出如下评价标准。软件依据该标准对各个主要功能房间进行PMV以及PPD的达标面积统计，并且按照主要功能房间面积加权平均计算得出建筑的PMV-PPD整体评价结果。</w:t>
      </w:r>
    </w:p>
    <w:p w14:paraId="333F30AE">
      <w:pPr>
        <w:pStyle w:val="3"/>
        <w:ind w:firstLine="0" w:firstLineChars="0"/>
        <w:jc w:val="center"/>
        <w:rPr>
          <w:rFonts w:ascii="微软雅黑" w:hAnsi="微软雅黑" w:eastAsia="微软雅黑"/>
          <w:b/>
        </w:rPr>
      </w:pPr>
      <w:r>
        <w:rPr>
          <w:rFonts w:hint="eastAsia" w:ascii="微软雅黑" w:hAnsi="微软雅黑" w:eastAsia="微软雅黑"/>
          <w:b/>
        </w:rPr>
        <w:t>表</w:t>
      </w:r>
      <w:r>
        <w:rPr>
          <w:rFonts w:ascii="微软雅黑" w:hAnsi="微软雅黑" w:eastAsia="微软雅黑"/>
          <w:b/>
        </w:rPr>
        <w:fldChar w:fldCharType="begin"/>
      </w:r>
      <w:r>
        <w:rPr>
          <w:rFonts w:ascii="微软雅黑" w:hAnsi="微软雅黑" w:eastAsia="微软雅黑"/>
          <w:b/>
        </w:rPr>
        <w:instrText xml:space="preserve"> </w:instrText>
      </w:r>
      <w:r>
        <w:rPr>
          <w:rFonts w:hint="eastAsia" w:ascii="微软雅黑" w:hAnsi="微软雅黑" w:eastAsia="微软雅黑"/>
          <w:b/>
        </w:rPr>
        <w:instrText xml:space="preserve">STYLEREF 2 \s</w:instrText>
      </w:r>
      <w:r>
        <w:rPr>
          <w:rFonts w:ascii="微软雅黑" w:hAnsi="微软雅黑" w:eastAsia="微软雅黑"/>
          <w:b/>
        </w:rPr>
        <w:instrText xml:space="preserve"> </w:instrText>
      </w:r>
      <w:r>
        <w:rPr>
          <w:rFonts w:ascii="微软雅黑" w:hAnsi="微软雅黑" w:eastAsia="微软雅黑"/>
          <w:b/>
        </w:rPr>
        <w:fldChar w:fldCharType="separate"/>
      </w:r>
      <w:r>
        <w:rPr>
          <w:rFonts w:hint="eastAsia" w:ascii="微软雅黑" w:hAnsi="微软雅黑" w:eastAsia="微软雅黑"/>
          <w:b/>
        </w:rPr>
        <w:t>6.1</w:t>
      </w:r>
      <w:r>
        <w:rPr>
          <w:rFonts w:ascii="微软雅黑" w:hAnsi="微软雅黑" w:eastAsia="微软雅黑"/>
          <w:b/>
        </w:rPr>
        <w:fldChar w:fldCharType="end"/>
      </w:r>
      <w:r>
        <w:rPr>
          <w:rFonts w:hint="eastAsia" w:ascii="微软雅黑" w:hAnsi="微软雅黑" w:eastAsia="微软雅黑"/>
          <w:b/>
        </w:rPr>
        <w:t>-1</w:t>
      </w:r>
      <w:r>
        <w:rPr>
          <w:rFonts w:ascii="微软雅黑" w:hAnsi="微软雅黑" w:eastAsia="微软雅黑"/>
          <w:b/>
        </w:rPr>
        <w:t xml:space="preserve"> </w:t>
      </w:r>
      <w:r>
        <w:rPr>
          <w:rFonts w:hint="eastAsia" w:ascii="微软雅黑" w:hAnsi="微软雅黑" w:eastAsia="微软雅黑"/>
          <w:b/>
        </w:rPr>
        <w:t>PMV-PPD整体评价指标</w:t>
      </w:r>
    </w:p>
    <w:tbl>
      <w:tblPr>
        <w:tblStyle w:val="21"/>
        <w:tblW w:w="9889" w:type="dxa"/>
        <w:tblInd w:w="0" w:type="dxa"/>
        <w:tblLayout w:type="autofit"/>
        <w:tblCellMar>
          <w:top w:w="0" w:type="dxa"/>
          <w:left w:w="108" w:type="dxa"/>
          <w:bottom w:w="0" w:type="dxa"/>
          <w:right w:w="108" w:type="dxa"/>
        </w:tblCellMar>
      </w:tblPr>
      <w:tblGrid>
        <w:gridCol w:w="4184"/>
        <w:gridCol w:w="2693"/>
        <w:gridCol w:w="3012"/>
      </w:tblGrid>
      <w:tr w14:paraId="37932464">
        <w:tblPrEx>
          <w:tblCellMar>
            <w:top w:w="0" w:type="dxa"/>
            <w:left w:w="108" w:type="dxa"/>
            <w:bottom w:w="0" w:type="dxa"/>
            <w:right w:w="108" w:type="dxa"/>
          </w:tblCellMar>
        </w:tblPrEx>
        <w:trPr>
          <w:trHeight w:val="285" w:hRule="atLeast"/>
        </w:trPr>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14:paraId="7876E60A">
            <w:pPr>
              <w:spacing w:line="240" w:lineRule="auto"/>
              <w:ind w:firstLine="1575" w:firstLineChars="750"/>
              <w:rPr>
                <w:rFonts w:ascii="Tahoma" w:hAnsi="Tahoma" w:cs="Tahoma"/>
                <w:color w:val="000000"/>
                <w:szCs w:val="21"/>
                <w:lang w:val="en-US"/>
              </w:rPr>
            </w:pPr>
            <w:r>
              <w:rPr>
                <w:rFonts w:ascii="Tahoma" w:hAnsi="Tahoma" w:cs="Tahoma"/>
                <w:color w:val="000000"/>
                <w:szCs w:val="21"/>
                <w:lang w:val="en-US"/>
              </w:rPr>
              <w:t>等级</w:t>
            </w:r>
          </w:p>
        </w:tc>
        <w:tc>
          <w:tcPr>
            <w:tcW w:w="5705" w:type="dxa"/>
            <w:gridSpan w:val="2"/>
            <w:tcBorders>
              <w:top w:val="single" w:color="auto" w:sz="4" w:space="0"/>
              <w:left w:val="nil"/>
              <w:bottom w:val="single" w:color="auto" w:sz="4" w:space="0"/>
              <w:right w:val="single" w:color="auto" w:sz="4" w:space="0"/>
            </w:tcBorders>
            <w:shd w:val="clear" w:color="auto" w:fill="auto"/>
            <w:vAlign w:val="center"/>
          </w:tcPr>
          <w:p w14:paraId="4AE32E83">
            <w:pPr>
              <w:spacing w:line="240" w:lineRule="auto"/>
              <w:jc w:val="center"/>
              <w:rPr>
                <w:rFonts w:ascii="Tahoma" w:hAnsi="Tahoma" w:cs="Tahoma"/>
                <w:color w:val="000000"/>
                <w:szCs w:val="21"/>
                <w:lang w:val="en-US"/>
              </w:rPr>
            </w:pPr>
            <w:r>
              <w:rPr>
                <w:rFonts w:ascii="Tahoma" w:hAnsi="Tahoma" w:cs="Tahoma"/>
                <w:color w:val="000000"/>
                <w:szCs w:val="21"/>
                <w:lang w:val="en-US"/>
              </w:rPr>
              <w:t>整体评价指标</w:t>
            </w:r>
          </w:p>
        </w:tc>
      </w:tr>
      <w:tr w14:paraId="36FB9360">
        <w:tblPrEx>
          <w:tblCellMar>
            <w:top w:w="0" w:type="dxa"/>
            <w:left w:w="108" w:type="dxa"/>
            <w:bottom w:w="0" w:type="dxa"/>
            <w:right w:w="108" w:type="dxa"/>
          </w:tblCellMar>
        </w:tblPrEx>
        <w:trPr>
          <w:trHeight w:val="285" w:hRule="atLeast"/>
        </w:trPr>
        <w:tc>
          <w:tcPr>
            <w:tcW w:w="4184" w:type="dxa"/>
            <w:tcBorders>
              <w:top w:val="single" w:color="auto" w:sz="4" w:space="0"/>
              <w:left w:val="single" w:color="auto" w:sz="4" w:space="0"/>
              <w:bottom w:val="single" w:color="auto" w:sz="4" w:space="0"/>
              <w:right w:val="single" w:color="auto" w:sz="4" w:space="0"/>
            </w:tcBorders>
            <w:shd w:val="clear" w:color="auto" w:fill="auto"/>
            <w:vAlign w:val="center"/>
          </w:tcPr>
          <w:p w14:paraId="701F677F">
            <w:pPr>
              <w:spacing w:line="240" w:lineRule="auto"/>
              <w:ind w:firstLine="1495" w:firstLineChars="712"/>
              <w:rPr>
                <w:rFonts w:ascii="Tahoma" w:hAnsi="Tahoma" w:cs="Tahoma"/>
                <w:color w:val="000000"/>
                <w:szCs w:val="21"/>
                <w:lang w:val="en-US"/>
              </w:rPr>
            </w:pPr>
            <w:r>
              <w:rPr>
                <w:rFonts w:ascii="宋体" w:hAnsi="宋体" w:cs="宋体"/>
                <w:color w:val="000000"/>
                <w:szCs w:val="21"/>
                <w:lang w:val="en-US"/>
              </w:rPr>
              <w:t>Ⅰ</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14:paraId="65B7C6A8">
            <w:pPr>
              <w:spacing w:line="240" w:lineRule="auto"/>
              <w:jc w:val="center"/>
              <w:rPr>
                <w:rFonts w:ascii="Tahoma" w:hAnsi="Tahoma" w:cs="Tahoma"/>
                <w:color w:val="000000"/>
                <w:szCs w:val="21"/>
                <w:lang w:val="en-US"/>
              </w:rPr>
            </w:pPr>
            <w:r>
              <w:rPr>
                <w:rFonts w:ascii="Tahoma" w:hAnsi="Tahoma" w:cs="Tahoma"/>
                <w:color w:val="000000"/>
                <w:szCs w:val="21"/>
                <w:lang w:val="en-US"/>
              </w:rPr>
              <w:t>PPD≤10％</w:t>
            </w:r>
          </w:p>
        </w:tc>
        <w:tc>
          <w:tcPr>
            <w:tcW w:w="3012" w:type="dxa"/>
            <w:tcBorders>
              <w:top w:val="nil"/>
              <w:left w:val="nil"/>
              <w:bottom w:val="single" w:color="auto" w:sz="4" w:space="0"/>
              <w:right w:val="single" w:color="auto" w:sz="4" w:space="0"/>
            </w:tcBorders>
            <w:shd w:val="clear" w:color="auto" w:fill="auto"/>
            <w:vAlign w:val="center"/>
          </w:tcPr>
          <w:p w14:paraId="54A46B11">
            <w:pPr>
              <w:spacing w:line="240" w:lineRule="auto"/>
              <w:jc w:val="center"/>
              <w:rPr>
                <w:rFonts w:ascii="Tahoma" w:hAnsi="Tahoma" w:cs="Tahoma"/>
                <w:color w:val="000000"/>
                <w:szCs w:val="21"/>
                <w:lang w:val="en-US"/>
              </w:rPr>
            </w:pPr>
            <w:r>
              <w:rPr>
                <w:rFonts w:ascii="Tahoma" w:hAnsi="Tahoma" w:cs="Tahoma"/>
                <w:color w:val="000000"/>
                <w:szCs w:val="21"/>
                <w:lang w:val="en-US"/>
              </w:rPr>
              <w:t>－0.5≤PMV≤＋0.5</w:t>
            </w:r>
          </w:p>
        </w:tc>
      </w:tr>
      <w:tr w14:paraId="719E7179">
        <w:tblPrEx>
          <w:tblCellMar>
            <w:top w:w="0" w:type="dxa"/>
            <w:left w:w="108" w:type="dxa"/>
            <w:bottom w:w="0" w:type="dxa"/>
            <w:right w:w="108" w:type="dxa"/>
          </w:tblCellMar>
        </w:tblPrEx>
        <w:trPr>
          <w:trHeight w:val="285" w:hRule="atLeast"/>
        </w:trPr>
        <w:tc>
          <w:tcPr>
            <w:tcW w:w="4184" w:type="dxa"/>
            <w:tcBorders>
              <w:top w:val="nil"/>
              <w:left w:val="single" w:color="auto" w:sz="4" w:space="0"/>
              <w:bottom w:val="single" w:color="auto" w:sz="4" w:space="0"/>
              <w:right w:val="single" w:color="auto" w:sz="4" w:space="0"/>
            </w:tcBorders>
            <w:shd w:val="clear" w:color="auto" w:fill="auto"/>
            <w:vAlign w:val="center"/>
          </w:tcPr>
          <w:p w14:paraId="1ED33BD7">
            <w:pPr>
              <w:spacing w:line="240" w:lineRule="auto"/>
              <w:ind w:firstLine="1495" w:firstLineChars="712"/>
              <w:rPr>
                <w:rFonts w:ascii="Tahoma" w:hAnsi="Tahoma" w:cs="Tahoma"/>
                <w:color w:val="000000"/>
                <w:szCs w:val="21"/>
                <w:lang w:val="en-US"/>
              </w:rPr>
            </w:pPr>
            <w:r>
              <w:rPr>
                <w:rFonts w:ascii="宋体" w:hAnsi="宋体" w:cs="宋体"/>
                <w:color w:val="000000"/>
                <w:szCs w:val="21"/>
                <w:lang w:val="en-US"/>
              </w:rPr>
              <w:t>Ⅱ</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14:paraId="18FCFAC4">
            <w:pPr>
              <w:spacing w:line="240" w:lineRule="auto"/>
              <w:jc w:val="center"/>
              <w:rPr>
                <w:rFonts w:ascii="Tahoma" w:hAnsi="Tahoma" w:cs="Tahoma"/>
                <w:color w:val="000000"/>
                <w:szCs w:val="21"/>
                <w:lang w:val="en-US"/>
              </w:rPr>
            </w:pPr>
            <w:r>
              <w:rPr>
                <w:rFonts w:ascii="Tahoma" w:hAnsi="Tahoma" w:cs="Tahoma"/>
                <w:color w:val="000000"/>
                <w:szCs w:val="21"/>
                <w:lang w:val="en-US"/>
              </w:rPr>
              <w:t>10％＜PPD≤25％</w:t>
            </w:r>
          </w:p>
        </w:tc>
        <w:tc>
          <w:tcPr>
            <w:tcW w:w="3012" w:type="dxa"/>
            <w:tcBorders>
              <w:top w:val="nil"/>
              <w:left w:val="nil"/>
              <w:bottom w:val="single" w:color="auto" w:sz="4" w:space="0"/>
              <w:right w:val="single" w:color="auto" w:sz="4" w:space="0"/>
            </w:tcBorders>
            <w:shd w:val="clear" w:color="auto" w:fill="auto"/>
            <w:vAlign w:val="center"/>
          </w:tcPr>
          <w:p w14:paraId="2E99F0AF">
            <w:pPr>
              <w:spacing w:line="240" w:lineRule="auto"/>
              <w:jc w:val="center"/>
              <w:rPr>
                <w:rFonts w:ascii="Tahoma" w:hAnsi="Tahoma" w:cs="Tahoma"/>
                <w:color w:val="000000"/>
                <w:szCs w:val="21"/>
                <w:lang w:val="en-US"/>
              </w:rPr>
            </w:pPr>
            <w:r>
              <w:rPr>
                <w:rFonts w:ascii="Tahoma" w:hAnsi="Tahoma" w:cs="Tahoma"/>
                <w:color w:val="000000"/>
                <w:szCs w:val="21"/>
                <w:lang w:val="en-US"/>
              </w:rPr>
              <w:t>－1≤PMV＜－0.5或＋0.5＜PMV≤＋1</w:t>
            </w:r>
          </w:p>
        </w:tc>
      </w:tr>
      <w:tr w14:paraId="5766F429">
        <w:tblPrEx>
          <w:tblCellMar>
            <w:top w:w="0" w:type="dxa"/>
            <w:left w:w="108" w:type="dxa"/>
            <w:bottom w:w="0" w:type="dxa"/>
            <w:right w:w="108" w:type="dxa"/>
          </w:tblCellMar>
        </w:tblPrEx>
        <w:trPr>
          <w:trHeight w:val="285" w:hRule="atLeast"/>
        </w:trPr>
        <w:tc>
          <w:tcPr>
            <w:tcW w:w="4184" w:type="dxa"/>
            <w:tcBorders>
              <w:top w:val="nil"/>
              <w:left w:val="single" w:color="auto" w:sz="4" w:space="0"/>
              <w:bottom w:val="single" w:color="auto" w:sz="4" w:space="0"/>
              <w:right w:val="single" w:color="auto" w:sz="4" w:space="0"/>
            </w:tcBorders>
            <w:shd w:val="clear" w:color="auto" w:fill="auto"/>
            <w:vAlign w:val="center"/>
          </w:tcPr>
          <w:p w14:paraId="4C7478F9">
            <w:pPr>
              <w:spacing w:line="240" w:lineRule="auto"/>
              <w:ind w:left="-241" w:leftChars="-115" w:firstLine="1764" w:firstLineChars="840"/>
              <w:rPr>
                <w:rFonts w:ascii="Tahoma" w:hAnsi="Tahoma" w:cs="Tahoma"/>
                <w:color w:val="000000"/>
                <w:szCs w:val="21"/>
                <w:lang w:val="en-US"/>
              </w:rPr>
            </w:pPr>
            <w:r>
              <w:rPr>
                <w:rFonts w:ascii="宋体" w:hAnsi="宋体" w:cs="宋体"/>
                <w:color w:val="000000"/>
                <w:szCs w:val="21"/>
                <w:lang w:val="en-US"/>
              </w:rPr>
              <w:t>Ⅲ</w:t>
            </w:r>
            <w:r>
              <w:rPr>
                <w:rFonts w:ascii="Tahoma" w:hAnsi="Tahoma" w:cs="Tahoma"/>
                <w:color w:val="000000"/>
                <w:szCs w:val="21"/>
                <w:lang w:val="en-US"/>
              </w:rPr>
              <w:t>级</w:t>
            </w:r>
          </w:p>
        </w:tc>
        <w:tc>
          <w:tcPr>
            <w:tcW w:w="2693" w:type="dxa"/>
            <w:tcBorders>
              <w:top w:val="nil"/>
              <w:left w:val="nil"/>
              <w:bottom w:val="single" w:color="auto" w:sz="4" w:space="0"/>
              <w:right w:val="single" w:color="auto" w:sz="4" w:space="0"/>
            </w:tcBorders>
            <w:shd w:val="clear" w:color="auto" w:fill="auto"/>
            <w:vAlign w:val="center"/>
          </w:tcPr>
          <w:p w14:paraId="1816128E">
            <w:pPr>
              <w:spacing w:line="240" w:lineRule="auto"/>
              <w:jc w:val="center"/>
              <w:rPr>
                <w:rFonts w:ascii="Tahoma" w:hAnsi="Tahoma" w:cs="Tahoma"/>
                <w:color w:val="000000"/>
                <w:szCs w:val="21"/>
                <w:lang w:val="en-US"/>
              </w:rPr>
            </w:pPr>
            <w:r>
              <w:rPr>
                <w:rFonts w:ascii="Tahoma" w:hAnsi="Tahoma" w:cs="Tahoma"/>
                <w:color w:val="000000"/>
                <w:szCs w:val="21"/>
                <w:lang w:val="en-US"/>
              </w:rPr>
              <w:t>PPD＞25％</w:t>
            </w:r>
          </w:p>
        </w:tc>
        <w:tc>
          <w:tcPr>
            <w:tcW w:w="3012" w:type="dxa"/>
            <w:tcBorders>
              <w:top w:val="nil"/>
              <w:left w:val="nil"/>
              <w:bottom w:val="single" w:color="auto" w:sz="4" w:space="0"/>
              <w:right w:val="single" w:color="auto" w:sz="4" w:space="0"/>
            </w:tcBorders>
            <w:shd w:val="clear" w:color="auto" w:fill="auto"/>
            <w:vAlign w:val="center"/>
          </w:tcPr>
          <w:p w14:paraId="38AA6BC4">
            <w:pPr>
              <w:spacing w:line="240" w:lineRule="auto"/>
              <w:jc w:val="center"/>
              <w:rPr>
                <w:rFonts w:ascii="Tahoma" w:hAnsi="Tahoma" w:cs="Tahoma"/>
                <w:color w:val="000000"/>
                <w:szCs w:val="21"/>
                <w:lang w:val="en-US"/>
              </w:rPr>
            </w:pPr>
            <w:r>
              <w:rPr>
                <w:rFonts w:ascii="Tahoma" w:hAnsi="Tahoma" w:cs="Tahoma"/>
                <w:color w:val="000000"/>
                <w:szCs w:val="21"/>
                <w:lang w:val="en-US"/>
              </w:rPr>
              <w:t>PMV＜－1或PMV＞＋1</w:t>
            </w:r>
          </w:p>
        </w:tc>
      </w:tr>
    </w:tbl>
    <w:p w14:paraId="4875739C">
      <w:pPr>
        <w:pStyle w:val="3"/>
        <w:ind w:firstLine="0" w:firstLineChars="0"/>
        <w:jc w:val="left"/>
        <w:rPr>
          <w:color w:val="FF0000"/>
        </w:rPr>
      </w:pPr>
    </w:p>
    <w:p w14:paraId="69A0FCB1">
      <w:pPr>
        <w:pStyle w:val="3"/>
        <w:ind w:firstLine="0" w:firstLineChars="0"/>
        <w:jc w:val="center"/>
        <w:rPr>
          <w:rFonts w:ascii="宋体" w:hAnsi="宋体" w:cs="宋体"/>
          <w:b/>
          <w:bCs/>
          <w:color w:val="333333"/>
          <w:sz w:val="24"/>
          <w:szCs w:val="22"/>
          <w:lang w:val="en-US"/>
        </w:rPr>
      </w:pPr>
      <w:bookmarkStart w:id="72" w:name="统计计算表表头"/>
      <w:r>
        <w:rPr>
          <w:rFonts w:hint="eastAsia" w:ascii="微软雅黑" w:hAnsi="微软雅黑" w:eastAsia="微软雅黑"/>
          <w:b/>
        </w:rPr>
        <w:t>表6.1-2 建筑主要功能房间以及每套住宅PMV-PPD整体评价指标</w:t>
      </w:r>
      <w:bookmarkEnd w:id="72"/>
    </w:p>
    <w:tbl>
      <w:tblPr>
        <w:tblStyle w:val="21"/>
        <w:tblW w:w="99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109"/>
        <w:gridCol w:w="1658"/>
        <w:gridCol w:w="1658"/>
      </w:tblGrid>
      <w:tr w14:paraId="37EC864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2FB1C3B1">
            <w:pPr>
              <w:jc w:val="center"/>
              <w:rPr>
                <w:sz w:val="21"/>
                <w:szCs w:val="21"/>
              </w:rPr>
            </w:pPr>
            <w:r>
              <w:rPr>
                <w:sz w:val="21"/>
                <w:szCs w:val="21"/>
              </w:rPr>
              <w:t>层号</w:t>
            </w:r>
          </w:p>
        </w:tc>
        <w:tc>
          <w:tcPr>
            <w:shd w:val="clear" w:color="auto" w:fill="E6E6E6"/>
            <w:vAlign w:val="center"/>
          </w:tcPr>
          <w:p w14:paraId="0E6994C9">
            <w:pPr>
              <w:jc w:val="center"/>
              <w:rPr>
                <w:sz w:val="21"/>
                <w:szCs w:val="21"/>
              </w:rPr>
            </w:pPr>
            <w:r>
              <w:rPr>
                <w:sz w:val="21"/>
                <w:szCs w:val="21"/>
              </w:rPr>
              <w:t>户型</w:t>
            </w:r>
          </w:p>
        </w:tc>
        <w:tc>
          <w:tcPr>
            <w:shd w:val="clear" w:color="auto" w:fill="E6E6E6"/>
            <w:vAlign w:val="center"/>
          </w:tcPr>
          <w:p w14:paraId="57CDFF8E">
            <w:pPr>
              <w:jc w:val="center"/>
              <w:rPr>
                <w:sz w:val="21"/>
                <w:szCs w:val="21"/>
              </w:rPr>
            </w:pPr>
            <w:r>
              <w:rPr>
                <w:sz w:val="21"/>
                <w:szCs w:val="21"/>
              </w:rPr>
              <w:t>房间编号</w:t>
            </w:r>
          </w:p>
        </w:tc>
        <w:tc>
          <w:tcPr>
            <w:shd w:val="clear" w:color="auto" w:fill="E6E6E6"/>
            <w:vAlign w:val="center"/>
          </w:tcPr>
          <w:p w14:paraId="6B723560">
            <w:pPr>
              <w:jc w:val="center"/>
              <w:rPr>
                <w:sz w:val="21"/>
                <w:szCs w:val="21"/>
              </w:rPr>
            </w:pPr>
            <w:r>
              <w:rPr>
                <w:sz w:val="21"/>
                <w:szCs w:val="21"/>
              </w:rPr>
              <w:t>房间名称</w:t>
            </w:r>
          </w:p>
        </w:tc>
        <w:tc>
          <w:tcPr>
            <w:shd w:val="clear" w:color="auto" w:fill="E6E6E6"/>
            <w:vAlign w:val="center"/>
          </w:tcPr>
          <w:p w14:paraId="53270D7D">
            <w:pPr>
              <w:jc w:val="center"/>
              <w:rPr>
                <w:sz w:val="21"/>
                <w:szCs w:val="21"/>
              </w:rPr>
            </w:pPr>
            <w:r>
              <w:rPr>
                <w:sz w:val="21"/>
                <w:szCs w:val="21"/>
              </w:rPr>
              <w:t>面积(㎡)</w:t>
            </w:r>
          </w:p>
        </w:tc>
        <w:tc>
          <w:tcPr>
            <w:shd w:val="clear" w:color="auto" w:fill="E6E6E6"/>
            <w:vAlign w:val="center"/>
          </w:tcPr>
          <w:p w14:paraId="08CF242E">
            <w:pPr>
              <w:jc w:val="center"/>
              <w:rPr>
                <w:sz w:val="21"/>
                <w:szCs w:val="21"/>
              </w:rPr>
            </w:pPr>
            <w:r>
              <w:rPr>
                <w:sz w:val="21"/>
                <w:szCs w:val="21"/>
              </w:rPr>
              <w:t>PMV值</w:t>
            </w:r>
          </w:p>
        </w:tc>
        <w:tc>
          <w:tcPr>
            <w:shd w:val="clear" w:color="auto" w:fill="E6E6E6"/>
            <w:vAlign w:val="center"/>
          </w:tcPr>
          <w:p w14:paraId="6A31B9AA">
            <w:pPr>
              <w:jc w:val="center"/>
              <w:rPr>
                <w:sz w:val="21"/>
                <w:szCs w:val="21"/>
              </w:rPr>
            </w:pPr>
            <w:r>
              <w:rPr>
                <w:sz w:val="21"/>
                <w:szCs w:val="21"/>
              </w:rPr>
              <w:t>PPD值</w:t>
            </w:r>
          </w:p>
        </w:tc>
      </w:tr>
      <w:tr w14:paraId="4566BDF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481FBB7">
            <w:pPr>
              <w:rPr>
                <w:sz w:val="21"/>
                <w:szCs w:val="21"/>
              </w:rPr>
            </w:pPr>
            <w:r>
              <w:rPr>
                <w:sz w:val="21"/>
                <w:szCs w:val="21"/>
              </w:rPr>
              <w:t>2层</w:t>
            </w:r>
          </w:p>
        </w:tc>
        <w:tc>
          <w:tcPr>
            <w:gridSpan w:val="2"/>
          </w:tcPr>
          <w:p w14:paraId="643E5E25">
            <w:pPr>
              <w:rPr>
                <w:sz w:val="21"/>
                <w:szCs w:val="21"/>
              </w:rPr>
            </w:pPr>
            <w:r>
              <w:rPr>
                <w:sz w:val="21"/>
                <w:szCs w:val="21"/>
              </w:rPr>
              <w:t>2006</w:t>
            </w:r>
          </w:p>
        </w:tc>
        <w:tc>
          <w:tcPr>
            <w:vAlign w:val="center"/>
          </w:tcPr>
          <w:p w14:paraId="54A3C6FE">
            <w:pPr>
              <w:rPr>
                <w:sz w:val="21"/>
                <w:szCs w:val="21"/>
              </w:rPr>
            </w:pPr>
            <w:r>
              <w:rPr>
                <w:sz w:val="21"/>
                <w:szCs w:val="21"/>
              </w:rPr>
              <w:t>大老年人活动室</w:t>
            </w:r>
          </w:p>
        </w:tc>
        <w:tc>
          <w:tcPr>
            <w:vAlign w:val="center"/>
          </w:tcPr>
          <w:p w14:paraId="205B8BE3">
            <w:pPr>
              <w:rPr>
                <w:sz w:val="21"/>
                <w:szCs w:val="21"/>
              </w:rPr>
            </w:pPr>
            <w:r>
              <w:rPr>
                <w:sz w:val="21"/>
                <w:szCs w:val="21"/>
              </w:rPr>
              <w:t>96.74</w:t>
            </w:r>
          </w:p>
        </w:tc>
        <w:tc>
          <w:tcPr>
            <w:vAlign w:val="center"/>
          </w:tcPr>
          <w:p w14:paraId="4FD74A01">
            <w:pPr>
              <w:rPr>
                <w:sz w:val="21"/>
                <w:szCs w:val="21"/>
              </w:rPr>
            </w:pPr>
            <w:r>
              <w:rPr>
                <w:sz w:val="21"/>
                <w:szCs w:val="21"/>
              </w:rPr>
              <w:t>0.41</w:t>
            </w:r>
          </w:p>
        </w:tc>
        <w:tc>
          <w:tcPr>
            <w:vAlign w:val="center"/>
          </w:tcPr>
          <w:p w14:paraId="5B0ACA36">
            <w:pPr>
              <w:rPr>
                <w:sz w:val="21"/>
                <w:szCs w:val="21"/>
              </w:rPr>
            </w:pPr>
            <w:r>
              <w:rPr>
                <w:sz w:val="21"/>
                <w:szCs w:val="21"/>
              </w:rPr>
              <w:t>8.35</w:t>
            </w:r>
          </w:p>
        </w:tc>
      </w:tr>
      <w:tr w14:paraId="4B84576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84F622">
            <w:pPr>
              <w:rPr>
                <w:sz w:val="21"/>
                <w:szCs w:val="21"/>
              </w:rPr>
            </w:pPr>
          </w:p>
        </w:tc>
        <w:tc>
          <w:tcPr>
            <w:gridSpan w:val="2"/>
          </w:tcPr>
          <w:p w14:paraId="472EE05F">
            <w:pPr>
              <w:rPr>
                <w:sz w:val="21"/>
                <w:szCs w:val="21"/>
              </w:rPr>
            </w:pPr>
            <w:r>
              <w:rPr>
                <w:sz w:val="21"/>
                <w:szCs w:val="21"/>
              </w:rPr>
              <w:t>2007</w:t>
            </w:r>
          </w:p>
        </w:tc>
        <w:tc>
          <w:tcPr>
            <w:vAlign w:val="center"/>
          </w:tcPr>
          <w:p w14:paraId="4D6C34E0">
            <w:pPr>
              <w:rPr>
                <w:sz w:val="21"/>
                <w:szCs w:val="21"/>
              </w:rPr>
            </w:pPr>
            <w:r>
              <w:rPr>
                <w:sz w:val="21"/>
                <w:szCs w:val="21"/>
              </w:rPr>
              <w:t>储藏室</w:t>
            </w:r>
          </w:p>
        </w:tc>
        <w:tc>
          <w:tcPr>
            <w:vAlign w:val="center"/>
          </w:tcPr>
          <w:p w14:paraId="5653EAD1">
            <w:pPr>
              <w:rPr>
                <w:sz w:val="21"/>
                <w:szCs w:val="21"/>
              </w:rPr>
            </w:pPr>
            <w:r>
              <w:rPr>
                <w:sz w:val="21"/>
                <w:szCs w:val="21"/>
              </w:rPr>
              <w:t>16.18</w:t>
            </w:r>
          </w:p>
        </w:tc>
        <w:tc>
          <w:tcPr>
            <w:vAlign w:val="center"/>
          </w:tcPr>
          <w:p w14:paraId="06C7FAF8">
            <w:pPr>
              <w:rPr>
                <w:sz w:val="21"/>
                <w:szCs w:val="21"/>
              </w:rPr>
            </w:pPr>
            <w:r>
              <w:rPr>
                <w:sz w:val="21"/>
                <w:szCs w:val="21"/>
              </w:rPr>
              <w:t>0.41</w:t>
            </w:r>
          </w:p>
        </w:tc>
        <w:tc>
          <w:tcPr>
            <w:vAlign w:val="center"/>
          </w:tcPr>
          <w:p w14:paraId="11E1DB0F">
            <w:pPr>
              <w:rPr>
                <w:sz w:val="21"/>
                <w:szCs w:val="21"/>
              </w:rPr>
            </w:pPr>
            <w:r>
              <w:rPr>
                <w:sz w:val="21"/>
                <w:szCs w:val="21"/>
              </w:rPr>
              <w:t>8.56</w:t>
            </w:r>
          </w:p>
        </w:tc>
      </w:tr>
      <w:tr w14:paraId="5C3891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6ADFE8E8">
            <w:pPr>
              <w:rPr>
                <w:sz w:val="21"/>
                <w:szCs w:val="21"/>
              </w:rPr>
            </w:pPr>
            <w:r>
              <w:rPr>
                <w:sz w:val="21"/>
                <w:szCs w:val="21"/>
              </w:rPr>
              <w:t>建筑PMV-PPD整体评价指标</w:t>
            </w:r>
          </w:p>
        </w:tc>
        <w:tc>
          <w:tcPr>
            <w:vAlign w:val="center"/>
          </w:tcPr>
          <w:p w14:paraId="44306338">
            <w:pPr>
              <w:rPr>
                <w:sz w:val="21"/>
                <w:szCs w:val="21"/>
              </w:rPr>
            </w:pPr>
            <w:r>
              <w:rPr>
                <w:sz w:val="21"/>
                <w:szCs w:val="21"/>
              </w:rPr>
              <w:t>112.92</w:t>
            </w:r>
          </w:p>
        </w:tc>
        <w:tc>
          <w:tcPr>
            <w:vAlign w:val="center"/>
          </w:tcPr>
          <w:p w14:paraId="5A30439B">
            <w:pPr>
              <w:rPr>
                <w:sz w:val="21"/>
                <w:szCs w:val="21"/>
              </w:rPr>
            </w:pPr>
            <w:r>
              <w:rPr>
                <w:sz w:val="21"/>
                <w:szCs w:val="21"/>
              </w:rPr>
              <w:t>0.41</w:t>
            </w:r>
          </w:p>
        </w:tc>
        <w:tc>
          <w:tcPr>
            <w:vAlign w:val="center"/>
          </w:tcPr>
          <w:p w14:paraId="486C8EB6">
            <w:pPr>
              <w:rPr>
                <w:sz w:val="21"/>
                <w:szCs w:val="21"/>
              </w:rPr>
            </w:pPr>
            <w:r>
              <w:rPr>
                <w:sz w:val="21"/>
                <w:szCs w:val="21"/>
              </w:rPr>
              <w:t>8.38</w:t>
            </w:r>
          </w:p>
        </w:tc>
      </w:tr>
    </w:tbl>
    <w:p w14:paraId="61983DBE">
      <w:pPr>
        <w:spacing w:after="120"/>
        <w:rPr>
          <w:rFonts w:ascii="宋体" w:hAnsi="宋体" w:cs="宋体"/>
          <w:bCs/>
          <w:color w:val="333333"/>
          <w:szCs w:val="21"/>
          <w:lang w:val="en-US"/>
        </w:rPr>
      </w:pPr>
      <w:bookmarkStart w:id="73" w:name="达标统计表"/>
      <w:bookmarkEnd w:id="73"/>
    </w:p>
    <w:p w14:paraId="3B15C55E">
      <w:pPr>
        <w:spacing w:after="120"/>
        <w:rPr>
          <w:szCs w:val="21"/>
          <w:lang w:val="en-US"/>
        </w:rPr>
      </w:pPr>
      <w:bookmarkStart w:id="74" w:name="达标统计表说明"/>
      <w:r>
        <w:rPr>
          <w:szCs w:val="21"/>
          <w:lang w:val="en-US"/>
        </w:rPr>
        <w:t>说明：房间的PMV-PPD值按照其绝对值在房间内的分布进行面积加权平均，建筑整体的PMV-PPD值按照建筑各主要功能房间的计算值进行面积加权平均得出。</w:t>
      </w:r>
      <w:bookmarkEnd w:id="74"/>
    </w:p>
    <w:p w14:paraId="483E0897">
      <w:pPr>
        <w:pStyle w:val="4"/>
      </w:pPr>
      <w:bookmarkStart w:id="75" w:name="_Toc30770"/>
      <w:r>
        <w:rPr>
          <w:rFonts w:hint="eastAsia"/>
        </w:rPr>
        <w:t>室内热湿环境局部评价指标</w:t>
      </w:r>
      <w:bookmarkEnd w:id="75"/>
    </w:p>
    <w:p w14:paraId="4A1E20AD">
      <w:pPr>
        <w:pStyle w:val="3"/>
        <w:ind w:firstLine="420"/>
        <w:rPr>
          <w:lang w:val="en-US"/>
        </w:rPr>
      </w:pPr>
      <w:r>
        <w:rPr>
          <w:rFonts w:hint="eastAsia"/>
          <w:lang w:val="en-US"/>
        </w:rPr>
        <w:t>《民用建筑室内热湿环境评价标准》GB/T 50785-2012中给出如下评价标准。软件依据该标准对各个主要功能房间进行局部评价指标的计算，并按照主要功能房间面积加权平均计算得出建筑的评价指标。</w:t>
      </w:r>
    </w:p>
    <w:p w14:paraId="25B328D1">
      <w:pPr>
        <w:pStyle w:val="3"/>
        <w:ind w:firstLine="420"/>
        <w:rPr>
          <w:lang w:val="en-US"/>
        </w:rPr>
      </w:pPr>
    </w:p>
    <w:tbl>
      <w:tblPr>
        <w:tblStyle w:val="21"/>
        <w:tblW w:w="9923" w:type="dxa"/>
        <w:tblInd w:w="-34" w:type="dxa"/>
        <w:tblLayout w:type="autofit"/>
        <w:tblCellMar>
          <w:top w:w="0" w:type="dxa"/>
          <w:left w:w="108" w:type="dxa"/>
          <w:bottom w:w="0" w:type="dxa"/>
          <w:right w:w="108" w:type="dxa"/>
        </w:tblCellMar>
      </w:tblPr>
      <w:tblGrid>
        <w:gridCol w:w="1364"/>
        <w:gridCol w:w="2464"/>
        <w:gridCol w:w="2977"/>
        <w:gridCol w:w="3118"/>
      </w:tblGrid>
      <w:tr w14:paraId="0AA7CDE5">
        <w:tblPrEx>
          <w:tblCellMar>
            <w:top w:w="0" w:type="dxa"/>
            <w:left w:w="108" w:type="dxa"/>
            <w:bottom w:w="0" w:type="dxa"/>
            <w:right w:w="108" w:type="dxa"/>
          </w:tblCellMar>
        </w:tblPrEx>
        <w:trPr>
          <w:trHeight w:val="270" w:hRule="atLeast"/>
        </w:trPr>
        <w:tc>
          <w:tcPr>
            <w:tcW w:w="1364" w:type="dxa"/>
            <w:vMerge w:val="restart"/>
            <w:tcBorders>
              <w:top w:val="single" w:color="auto" w:sz="4" w:space="0"/>
              <w:left w:val="single" w:color="auto" w:sz="4" w:space="0"/>
              <w:right w:val="single" w:color="auto" w:sz="4" w:space="0"/>
            </w:tcBorders>
            <w:shd w:val="clear" w:color="auto" w:fill="auto"/>
            <w:noWrap/>
            <w:vAlign w:val="center"/>
          </w:tcPr>
          <w:p w14:paraId="0CCBE142">
            <w:pPr>
              <w:spacing w:line="240" w:lineRule="auto"/>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　等级</w:t>
            </w:r>
          </w:p>
        </w:tc>
        <w:tc>
          <w:tcPr>
            <w:tcW w:w="8559" w:type="dxa"/>
            <w:gridSpan w:val="3"/>
            <w:tcBorders>
              <w:top w:val="single" w:color="auto" w:sz="4" w:space="0"/>
              <w:left w:val="nil"/>
              <w:bottom w:val="single" w:color="auto" w:sz="4" w:space="0"/>
              <w:right w:val="single" w:color="000000" w:sz="4" w:space="0"/>
            </w:tcBorders>
            <w:shd w:val="clear" w:color="auto" w:fill="auto"/>
            <w:noWrap/>
            <w:vAlign w:val="center"/>
          </w:tcPr>
          <w:p w14:paraId="1999A506">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局部评价指标</w:t>
            </w:r>
          </w:p>
        </w:tc>
      </w:tr>
      <w:tr w14:paraId="1A177FA2">
        <w:tblPrEx>
          <w:tblCellMar>
            <w:top w:w="0" w:type="dxa"/>
            <w:left w:w="108" w:type="dxa"/>
            <w:bottom w:w="0" w:type="dxa"/>
            <w:right w:w="108" w:type="dxa"/>
          </w:tblCellMar>
        </w:tblPrEx>
        <w:trPr>
          <w:trHeight w:val="270" w:hRule="atLeast"/>
        </w:trPr>
        <w:tc>
          <w:tcPr>
            <w:tcW w:w="1364" w:type="dxa"/>
            <w:vMerge w:val="continue"/>
            <w:tcBorders>
              <w:left w:val="single" w:color="auto" w:sz="4" w:space="0"/>
              <w:bottom w:val="single" w:color="auto" w:sz="4" w:space="0"/>
              <w:right w:val="single" w:color="auto" w:sz="4" w:space="0"/>
            </w:tcBorders>
            <w:shd w:val="clear" w:color="auto" w:fill="auto"/>
            <w:noWrap/>
            <w:vAlign w:val="center"/>
          </w:tcPr>
          <w:p w14:paraId="0C3521EE">
            <w:pPr>
              <w:spacing w:line="240" w:lineRule="auto"/>
              <w:rPr>
                <w:rFonts w:cs="宋体" w:asciiTheme="minorEastAsia" w:hAnsiTheme="minorEastAsia" w:eastAsiaTheme="minorEastAsia"/>
                <w:color w:val="000000"/>
                <w:szCs w:val="21"/>
                <w:lang w:val="en-US"/>
              </w:rPr>
            </w:pPr>
          </w:p>
        </w:tc>
        <w:tc>
          <w:tcPr>
            <w:tcW w:w="2464" w:type="dxa"/>
            <w:tcBorders>
              <w:top w:val="nil"/>
              <w:left w:val="nil"/>
              <w:bottom w:val="single" w:color="auto" w:sz="4" w:space="0"/>
              <w:right w:val="single" w:color="auto" w:sz="4" w:space="0"/>
            </w:tcBorders>
            <w:shd w:val="clear" w:color="auto" w:fill="auto"/>
            <w:noWrap/>
            <w:vAlign w:val="center"/>
          </w:tcPr>
          <w:p w14:paraId="7AB48583">
            <w:pPr>
              <w:spacing w:line="240" w:lineRule="auto"/>
              <w:ind w:firstLine="105" w:firstLineChars="50"/>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冷吹风感</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p>
        </w:tc>
        <w:tc>
          <w:tcPr>
            <w:tcW w:w="2977" w:type="dxa"/>
            <w:tcBorders>
              <w:top w:val="nil"/>
              <w:left w:val="nil"/>
              <w:bottom w:val="single" w:color="auto" w:sz="4" w:space="0"/>
              <w:right w:val="single" w:color="auto" w:sz="4" w:space="0"/>
            </w:tcBorders>
            <w:shd w:val="clear" w:color="auto" w:fill="auto"/>
            <w:noWrap/>
            <w:vAlign w:val="center"/>
          </w:tcPr>
          <w:p w14:paraId="6718BFB7">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垂直空气温度差</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p>
        </w:tc>
        <w:tc>
          <w:tcPr>
            <w:tcW w:w="3118" w:type="dxa"/>
            <w:tcBorders>
              <w:top w:val="nil"/>
              <w:left w:val="nil"/>
              <w:bottom w:val="single" w:color="auto" w:sz="4" w:space="0"/>
              <w:right w:val="single" w:color="auto" w:sz="4" w:space="0"/>
            </w:tcBorders>
            <w:shd w:val="clear" w:color="auto" w:fill="auto"/>
            <w:noWrap/>
            <w:vAlign w:val="center"/>
          </w:tcPr>
          <w:p w14:paraId="6287E269">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地板表面温度</w:t>
            </w: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p>
        </w:tc>
      </w:tr>
      <w:tr w14:paraId="55134F43">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615C643F">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Ⅰ级</w:t>
            </w:r>
          </w:p>
        </w:tc>
        <w:tc>
          <w:tcPr>
            <w:tcW w:w="2464" w:type="dxa"/>
            <w:tcBorders>
              <w:top w:val="nil"/>
              <w:left w:val="nil"/>
              <w:bottom w:val="single" w:color="auto" w:sz="4" w:space="0"/>
              <w:right w:val="single" w:color="auto" w:sz="4" w:space="0"/>
            </w:tcBorders>
            <w:shd w:val="clear" w:color="auto" w:fill="auto"/>
            <w:noWrap/>
            <w:vAlign w:val="center"/>
          </w:tcPr>
          <w:p w14:paraId="7F8F49F3">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＜30%</w:t>
            </w:r>
          </w:p>
        </w:tc>
        <w:tc>
          <w:tcPr>
            <w:tcW w:w="2977" w:type="dxa"/>
            <w:tcBorders>
              <w:top w:val="nil"/>
              <w:left w:val="nil"/>
              <w:bottom w:val="single" w:color="auto" w:sz="4" w:space="0"/>
              <w:right w:val="single" w:color="auto" w:sz="4" w:space="0"/>
            </w:tcBorders>
            <w:shd w:val="clear" w:color="auto" w:fill="auto"/>
            <w:noWrap/>
            <w:vAlign w:val="center"/>
          </w:tcPr>
          <w:p w14:paraId="0DCACE79">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＜10%</w:t>
            </w:r>
          </w:p>
        </w:tc>
        <w:tc>
          <w:tcPr>
            <w:tcW w:w="3118" w:type="dxa"/>
            <w:tcBorders>
              <w:top w:val="nil"/>
              <w:left w:val="nil"/>
              <w:bottom w:val="single" w:color="auto" w:sz="4" w:space="0"/>
              <w:right w:val="single" w:color="auto" w:sz="4" w:space="0"/>
            </w:tcBorders>
            <w:shd w:val="clear" w:color="auto" w:fill="auto"/>
            <w:noWrap/>
            <w:vAlign w:val="center"/>
          </w:tcPr>
          <w:p w14:paraId="64C73574">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＜15%</w:t>
            </w:r>
          </w:p>
        </w:tc>
      </w:tr>
      <w:tr w14:paraId="59467C46">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77F9C888">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Ⅱ级</w:t>
            </w:r>
          </w:p>
        </w:tc>
        <w:tc>
          <w:tcPr>
            <w:tcW w:w="2464" w:type="dxa"/>
            <w:tcBorders>
              <w:top w:val="nil"/>
              <w:left w:val="nil"/>
              <w:bottom w:val="single" w:color="auto" w:sz="4" w:space="0"/>
              <w:right w:val="single" w:color="auto" w:sz="4" w:space="0"/>
            </w:tcBorders>
            <w:shd w:val="clear" w:color="auto" w:fill="auto"/>
            <w:noWrap/>
            <w:vAlign w:val="center"/>
          </w:tcPr>
          <w:p w14:paraId="70528B16">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30%≤LPD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＜40%</w:t>
            </w:r>
          </w:p>
        </w:tc>
        <w:tc>
          <w:tcPr>
            <w:tcW w:w="2977" w:type="dxa"/>
            <w:tcBorders>
              <w:top w:val="nil"/>
              <w:left w:val="nil"/>
              <w:bottom w:val="single" w:color="auto" w:sz="4" w:space="0"/>
              <w:right w:val="single" w:color="auto" w:sz="4" w:space="0"/>
            </w:tcBorders>
            <w:shd w:val="clear" w:color="auto" w:fill="auto"/>
            <w:noWrap/>
            <w:vAlign w:val="center"/>
          </w:tcPr>
          <w:p w14:paraId="5FE66306">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10%≤LPD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＜20%</w:t>
            </w:r>
          </w:p>
        </w:tc>
        <w:tc>
          <w:tcPr>
            <w:tcW w:w="3118" w:type="dxa"/>
            <w:tcBorders>
              <w:top w:val="nil"/>
              <w:left w:val="nil"/>
              <w:bottom w:val="single" w:color="auto" w:sz="4" w:space="0"/>
              <w:right w:val="single" w:color="auto" w:sz="4" w:space="0"/>
            </w:tcBorders>
            <w:shd w:val="clear" w:color="auto" w:fill="auto"/>
            <w:noWrap/>
            <w:vAlign w:val="center"/>
          </w:tcPr>
          <w:p w14:paraId="0196632D">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15%≤LPD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＜20%</w:t>
            </w:r>
          </w:p>
        </w:tc>
      </w:tr>
      <w:tr w14:paraId="1A624C20">
        <w:tblPrEx>
          <w:tblCellMar>
            <w:top w:w="0" w:type="dxa"/>
            <w:left w:w="108" w:type="dxa"/>
            <w:bottom w:w="0" w:type="dxa"/>
            <w:right w:w="108" w:type="dxa"/>
          </w:tblCellMar>
        </w:tblPrEx>
        <w:trPr>
          <w:trHeight w:val="270" w:hRule="atLeast"/>
        </w:trPr>
        <w:tc>
          <w:tcPr>
            <w:tcW w:w="1364" w:type="dxa"/>
            <w:tcBorders>
              <w:top w:val="nil"/>
              <w:left w:val="single" w:color="auto" w:sz="4" w:space="0"/>
              <w:bottom w:val="single" w:color="auto" w:sz="4" w:space="0"/>
              <w:right w:val="single" w:color="auto" w:sz="4" w:space="0"/>
            </w:tcBorders>
            <w:shd w:val="clear" w:color="auto" w:fill="auto"/>
            <w:noWrap/>
            <w:vAlign w:val="center"/>
          </w:tcPr>
          <w:p w14:paraId="7D2AE79B">
            <w:pPr>
              <w:spacing w:line="240" w:lineRule="auto"/>
              <w:jc w:val="center"/>
              <w:rPr>
                <w:rFonts w:cs="宋体" w:asciiTheme="minorEastAsia" w:hAnsiTheme="minorEastAsia" w:eastAsiaTheme="minorEastAsia"/>
                <w:color w:val="000000"/>
                <w:szCs w:val="21"/>
                <w:lang w:val="en-US"/>
              </w:rPr>
            </w:pPr>
            <w:r>
              <w:rPr>
                <w:rFonts w:hint="eastAsia" w:cs="宋体" w:asciiTheme="minorEastAsia" w:hAnsiTheme="minorEastAsia" w:eastAsiaTheme="minorEastAsia"/>
                <w:color w:val="000000"/>
                <w:szCs w:val="21"/>
                <w:lang w:val="en-US"/>
              </w:rPr>
              <w:t>Ⅲ级</w:t>
            </w:r>
          </w:p>
        </w:tc>
        <w:tc>
          <w:tcPr>
            <w:tcW w:w="2464" w:type="dxa"/>
            <w:tcBorders>
              <w:top w:val="nil"/>
              <w:left w:val="nil"/>
              <w:bottom w:val="single" w:color="auto" w:sz="4" w:space="0"/>
              <w:right w:val="single" w:color="auto" w:sz="4" w:space="0"/>
            </w:tcBorders>
            <w:shd w:val="clear" w:color="auto" w:fill="auto"/>
            <w:noWrap/>
            <w:vAlign w:val="center"/>
          </w:tcPr>
          <w:p w14:paraId="6F047823">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1</w:t>
            </w:r>
            <w:r>
              <w:rPr>
                <w:rFonts w:hint="eastAsia" w:asciiTheme="minorEastAsia" w:hAnsiTheme="minorEastAsia" w:eastAsiaTheme="minorEastAsia"/>
                <w:szCs w:val="21"/>
              </w:rPr>
              <w:t>≥40%</w:t>
            </w:r>
          </w:p>
        </w:tc>
        <w:tc>
          <w:tcPr>
            <w:tcW w:w="2977" w:type="dxa"/>
            <w:tcBorders>
              <w:top w:val="nil"/>
              <w:left w:val="nil"/>
              <w:bottom w:val="single" w:color="auto" w:sz="4" w:space="0"/>
              <w:right w:val="single" w:color="auto" w:sz="4" w:space="0"/>
            </w:tcBorders>
            <w:shd w:val="clear" w:color="auto" w:fill="auto"/>
            <w:noWrap/>
            <w:vAlign w:val="center"/>
          </w:tcPr>
          <w:p w14:paraId="28FD3460">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2</w:t>
            </w:r>
            <w:r>
              <w:rPr>
                <w:rFonts w:hint="eastAsia" w:asciiTheme="minorEastAsia" w:hAnsiTheme="minorEastAsia" w:eastAsiaTheme="minorEastAsia"/>
                <w:szCs w:val="21"/>
              </w:rPr>
              <w:t>≥20%</w:t>
            </w:r>
          </w:p>
        </w:tc>
        <w:tc>
          <w:tcPr>
            <w:tcW w:w="3118" w:type="dxa"/>
            <w:tcBorders>
              <w:top w:val="nil"/>
              <w:left w:val="nil"/>
              <w:bottom w:val="single" w:color="auto" w:sz="4" w:space="0"/>
              <w:right w:val="single" w:color="auto" w:sz="4" w:space="0"/>
            </w:tcBorders>
            <w:shd w:val="clear" w:color="auto" w:fill="auto"/>
            <w:noWrap/>
            <w:vAlign w:val="center"/>
          </w:tcPr>
          <w:p w14:paraId="06C24A7A">
            <w:pPr>
              <w:spacing w:line="240" w:lineRule="auto"/>
              <w:jc w:val="center"/>
              <w:rPr>
                <w:rFonts w:cs="宋体" w:asciiTheme="minorEastAsia" w:hAnsiTheme="minorEastAsia" w:eastAsiaTheme="minorEastAsia"/>
                <w:color w:val="000000"/>
                <w:szCs w:val="21"/>
                <w:lang w:val="en-US"/>
              </w:rPr>
            </w:pPr>
            <w:r>
              <w:rPr>
                <w:rFonts w:hint="eastAsia" w:asciiTheme="minorEastAsia" w:hAnsiTheme="minorEastAsia" w:eastAsiaTheme="minorEastAsia"/>
                <w:szCs w:val="21"/>
              </w:rPr>
              <w:t>LPD</w:t>
            </w:r>
            <w:r>
              <w:rPr>
                <w:rFonts w:hint="eastAsia" w:asciiTheme="minorEastAsia" w:hAnsiTheme="minorEastAsia" w:eastAsiaTheme="minorEastAsia"/>
                <w:szCs w:val="21"/>
                <w:vertAlign w:val="subscript"/>
              </w:rPr>
              <w:t>3</w:t>
            </w:r>
            <w:r>
              <w:rPr>
                <w:rFonts w:hint="eastAsia" w:asciiTheme="minorEastAsia" w:hAnsiTheme="minorEastAsia" w:eastAsiaTheme="minorEastAsia"/>
                <w:szCs w:val="21"/>
              </w:rPr>
              <w:t>≥20%</w:t>
            </w:r>
          </w:p>
        </w:tc>
      </w:tr>
    </w:tbl>
    <w:p w14:paraId="073FA2E4">
      <w:pPr>
        <w:pStyle w:val="3"/>
        <w:ind w:firstLine="0" w:firstLineChars="0"/>
        <w:jc w:val="center"/>
        <w:rPr>
          <w:rFonts w:ascii="宋体" w:hAnsi="宋体" w:cs="宋体"/>
          <w:b/>
          <w:bCs/>
          <w:color w:val="333333"/>
          <w:sz w:val="24"/>
          <w:szCs w:val="22"/>
          <w:lang w:val="en-US"/>
        </w:rPr>
      </w:pPr>
      <w:bookmarkStart w:id="76" w:name="统计计算表表头LPD"/>
      <w:bookmarkStart w:id="77" w:name="达标统计表LPD所有"/>
      <w:r>
        <w:rPr>
          <w:rFonts w:hint="eastAsia" w:ascii="微软雅黑" w:hAnsi="微软雅黑" w:eastAsia="微软雅黑"/>
          <w:b/>
        </w:rPr>
        <w:t>表6.2</w:t>
      </w:r>
      <w:r>
        <w:rPr>
          <w:rFonts w:ascii="微软雅黑" w:hAnsi="微软雅黑" w:eastAsia="微软雅黑"/>
          <w:b/>
        </w:rPr>
        <w:t>建筑主要功能房间以及每套住宅局部评价指标评价</w:t>
      </w:r>
      <w:bookmarkEnd w:id="76"/>
    </w:p>
    <w:tbl>
      <w:tblPr>
        <w:tblStyle w:val="21"/>
        <w:tblW w:w="9921"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03"/>
        <w:gridCol w:w="973"/>
        <w:gridCol w:w="1103"/>
        <w:gridCol w:w="2620"/>
        <w:gridCol w:w="1109"/>
        <w:gridCol w:w="1103"/>
        <w:gridCol w:w="1103"/>
        <w:gridCol w:w="1103"/>
      </w:tblGrid>
      <w:tr w14:paraId="636C282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1B5136E">
            <w:pPr>
              <w:jc w:val="center"/>
              <w:rPr>
                <w:sz w:val="21"/>
                <w:szCs w:val="21"/>
              </w:rPr>
            </w:pPr>
            <w:r>
              <w:rPr>
                <w:sz w:val="21"/>
                <w:szCs w:val="21"/>
              </w:rPr>
              <w:t>层号</w:t>
            </w:r>
          </w:p>
        </w:tc>
        <w:tc>
          <w:tcPr>
            <w:shd w:val="clear" w:color="auto" w:fill="E6E6E6"/>
            <w:vAlign w:val="center"/>
          </w:tcPr>
          <w:p w14:paraId="6228C429">
            <w:pPr>
              <w:jc w:val="center"/>
              <w:rPr>
                <w:sz w:val="21"/>
                <w:szCs w:val="21"/>
              </w:rPr>
            </w:pPr>
            <w:r>
              <w:rPr>
                <w:sz w:val="21"/>
                <w:szCs w:val="21"/>
              </w:rPr>
              <w:t>户型</w:t>
            </w:r>
          </w:p>
        </w:tc>
        <w:tc>
          <w:tcPr>
            <w:shd w:val="clear" w:color="auto" w:fill="E6E6E6"/>
            <w:vAlign w:val="center"/>
          </w:tcPr>
          <w:p w14:paraId="5507C468">
            <w:pPr>
              <w:jc w:val="center"/>
              <w:rPr>
                <w:sz w:val="21"/>
                <w:szCs w:val="21"/>
              </w:rPr>
            </w:pPr>
            <w:r>
              <w:rPr>
                <w:sz w:val="21"/>
                <w:szCs w:val="21"/>
              </w:rPr>
              <w:t>房间编号</w:t>
            </w:r>
          </w:p>
        </w:tc>
        <w:tc>
          <w:tcPr>
            <w:shd w:val="clear" w:color="auto" w:fill="E6E6E6"/>
            <w:vAlign w:val="center"/>
          </w:tcPr>
          <w:p w14:paraId="44227D23">
            <w:pPr>
              <w:jc w:val="center"/>
              <w:rPr>
                <w:sz w:val="21"/>
                <w:szCs w:val="21"/>
              </w:rPr>
            </w:pPr>
            <w:r>
              <w:rPr>
                <w:sz w:val="21"/>
                <w:szCs w:val="21"/>
              </w:rPr>
              <w:t>房间名称</w:t>
            </w:r>
          </w:p>
        </w:tc>
        <w:tc>
          <w:tcPr>
            <w:shd w:val="clear" w:color="auto" w:fill="E6E6E6"/>
            <w:vAlign w:val="center"/>
          </w:tcPr>
          <w:p w14:paraId="130147F2">
            <w:pPr>
              <w:jc w:val="center"/>
              <w:rPr>
                <w:sz w:val="21"/>
                <w:szCs w:val="21"/>
              </w:rPr>
            </w:pPr>
            <w:r>
              <w:rPr>
                <w:sz w:val="21"/>
                <w:szCs w:val="21"/>
              </w:rPr>
              <w:t>面积(㎡)</w:t>
            </w:r>
          </w:p>
        </w:tc>
        <w:tc>
          <w:tcPr>
            <w:shd w:val="clear" w:color="auto" w:fill="E6E6E6"/>
            <w:vAlign w:val="center"/>
          </w:tcPr>
          <w:p w14:paraId="1FDB6BD4">
            <w:pPr>
              <w:jc w:val="center"/>
              <w:rPr>
                <w:sz w:val="21"/>
                <w:szCs w:val="21"/>
              </w:rPr>
            </w:pPr>
            <w:r>
              <w:rPr>
                <w:sz w:val="21"/>
                <w:szCs w:val="21"/>
              </w:rPr>
              <w:t>LPD1(%)</w:t>
            </w:r>
          </w:p>
        </w:tc>
        <w:tc>
          <w:tcPr>
            <w:shd w:val="clear" w:color="auto" w:fill="E6E6E6"/>
            <w:vAlign w:val="center"/>
          </w:tcPr>
          <w:p w14:paraId="730A4405">
            <w:pPr>
              <w:jc w:val="center"/>
              <w:rPr>
                <w:sz w:val="21"/>
                <w:szCs w:val="21"/>
              </w:rPr>
            </w:pPr>
            <w:r>
              <w:rPr>
                <w:sz w:val="21"/>
                <w:szCs w:val="21"/>
              </w:rPr>
              <w:t>LPD2(%)</w:t>
            </w:r>
          </w:p>
        </w:tc>
        <w:tc>
          <w:tcPr>
            <w:shd w:val="clear" w:color="auto" w:fill="E6E6E6"/>
            <w:vAlign w:val="center"/>
          </w:tcPr>
          <w:p w14:paraId="20E05462">
            <w:pPr>
              <w:jc w:val="center"/>
              <w:rPr>
                <w:sz w:val="21"/>
                <w:szCs w:val="21"/>
              </w:rPr>
            </w:pPr>
            <w:r>
              <w:rPr>
                <w:sz w:val="21"/>
                <w:szCs w:val="21"/>
              </w:rPr>
              <w:t>LPD3(%)</w:t>
            </w:r>
          </w:p>
        </w:tc>
      </w:tr>
      <w:tr w14:paraId="6657B95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AB46021">
            <w:pPr>
              <w:rPr>
                <w:sz w:val="21"/>
                <w:szCs w:val="21"/>
              </w:rPr>
            </w:pPr>
            <w:r>
              <w:rPr>
                <w:sz w:val="21"/>
                <w:szCs w:val="21"/>
              </w:rPr>
              <w:t>2层</w:t>
            </w:r>
          </w:p>
        </w:tc>
        <w:tc>
          <w:tcPr>
            <w:gridSpan w:val="2"/>
          </w:tcPr>
          <w:p w14:paraId="7650D7BD">
            <w:pPr>
              <w:rPr>
                <w:sz w:val="21"/>
                <w:szCs w:val="21"/>
              </w:rPr>
            </w:pPr>
            <w:r>
              <w:rPr>
                <w:sz w:val="21"/>
                <w:szCs w:val="21"/>
              </w:rPr>
              <w:t>2006</w:t>
            </w:r>
          </w:p>
        </w:tc>
        <w:tc>
          <w:tcPr>
            <w:vAlign w:val="center"/>
          </w:tcPr>
          <w:p w14:paraId="1949E67A">
            <w:pPr>
              <w:rPr>
                <w:sz w:val="21"/>
                <w:szCs w:val="21"/>
              </w:rPr>
            </w:pPr>
            <w:r>
              <w:rPr>
                <w:sz w:val="21"/>
                <w:szCs w:val="21"/>
              </w:rPr>
              <w:t>大老年人活动室</w:t>
            </w:r>
          </w:p>
        </w:tc>
        <w:tc>
          <w:tcPr>
            <w:vAlign w:val="center"/>
          </w:tcPr>
          <w:p w14:paraId="6BECEDDA">
            <w:pPr>
              <w:rPr>
                <w:sz w:val="21"/>
                <w:szCs w:val="21"/>
              </w:rPr>
            </w:pPr>
            <w:r>
              <w:rPr>
                <w:sz w:val="21"/>
                <w:szCs w:val="21"/>
              </w:rPr>
              <w:t>96.74</w:t>
            </w:r>
          </w:p>
        </w:tc>
        <w:tc>
          <w:tcPr>
            <w:vAlign w:val="center"/>
          </w:tcPr>
          <w:p w14:paraId="4DEF1985">
            <w:pPr>
              <w:rPr>
                <w:sz w:val="21"/>
                <w:szCs w:val="21"/>
              </w:rPr>
            </w:pPr>
            <w:r>
              <w:rPr>
                <w:sz w:val="21"/>
                <w:szCs w:val="21"/>
              </w:rPr>
              <w:t>0.62</w:t>
            </w:r>
          </w:p>
        </w:tc>
        <w:tc>
          <w:tcPr>
            <w:vAlign w:val="center"/>
          </w:tcPr>
          <w:p w14:paraId="45CD4B8D">
            <w:pPr>
              <w:rPr>
                <w:sz w:val="21"/>
                <w:szCs w:val="21"/>
              </w:rPr>
            </w:pPr>
            <w:r>
              <w:rPr>
                <w:sz w:val="21"/>
                <w:szCs w:val="21"/>
              </w:rPr>
              <w:t>0.37</w:t>
            </w:r>
          </w:p>
        </w:tc>
        <w:tc>
          <w:tcPr>
            <w:vAlign w:val="center"/>
          </w:tcPr>
          <w:p w14:paraId="31336AE9">
            <w:pPr>
              <w:rPr>
                <w:sz w:val="21"/>
                <w:szCs w:val="21"/>
              </w:rPr>
            </w:pPr>
            <w:r>
              <w:rPr>
                <w:sz w:val="21"/>
                <w:szCs w:val="21"/>
              </w:rPr>
              <w:t>5.54</w:t>
            </w:r>
          </w:p>
        </w:tc>
      </w:tr>
      <w:tr w14:paraId="16EFDA9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25CA756">
            <w:pPr>
              <w:rPr>
                <w:sz w:val="21"/>
                <w:szCs w:val="21"/>
              </w:rPr>
            </w:pPr>
          </w:p>
        </w:tc>
        <w:tc>
          <w:tcPr>
            <w:gridSpan w:val="2"/>
          </w:tcPr>
          <w:p w14:paraId="4D337E97">
            <w:pPr>
              <w:rPr>
                <w:sz w:val="21"/>
                <w:szCs w:val="21"/>
              </w:rPr>
            </w:pPr>
            <w:r>
              <w:rPr>
                <w:sz w:val="21"/>
                <w:szCs w:val="21"/>
              </w:rPr>
              <w:t>2007</w:t>
            </w:r>
          </w:p>
        </w:tc>
        <w:tc>
          <w:tcPr>
            <w:vAlign w:val="center"/>
          </w:tcPr>
          <w:p w14:paraId="27ADD9AF">
            <w:pPr>
              <w:rPr>
                <w:sz w:val="21"/>
                <w:szCs w:val="21"/>
              </w:rPr>
            </w:pPr>
            <w:r>
              <w:rPr>
                <w:sz w:val="21"/>
                <w:szCs w:val="21"/>
              </w:rPr>
              <w:t>储藏室</w:t>
            </w:r>
          </w:p>
        </w:tc>
        <w:tc>
          <w:tcPr>
            <w:vAlign w:val="center"/>
          </w:tcPr>
          <w:p w14:paraId="74A9C7E8">
            <w:pPr>
              <w:rPr>
                <w:sz w:val="21"/>
                <w:szCs w:val="21"/>
              </w:rPr>
            </w:pPr>
            <w:r>
              <w:rPr>
                <w:sz w:val="21"/>
                <w:szCs w:val="21"/>
              </w:rPr>
              <w:t>16.18</w:t>
            </w:r>
          </w:p>
        </w:tc>
        <w:tc>
          <w:tcPr>
            <w:vAlign w:val="center"/>
          </w:tcPr>
          <w:p w14:paraId="50C5F736">
            <w:pPr>
              <w:rPr>
                <w:sz w:val="21"/>
                <w:szCs w:val="21"/>
              </w:rPr>
            </w:pPr>
            <w:r>
              <w:rPr>
                <w:sz w:val="21"/>
                <w:szCs w:val="21"/>
              </w:rPr>
              <w:t>0.00</w:t>
            </w:r>
          </w:p>
        </w:tc>
        <w:tc>
          <w:tcPr>
            <w:vAlign w:val="center"/>
          </w:tcPr>
          <w:p w14:paraId="4626AA39">
            <w:pPr>
              <w:rPr>
                <w:sz w:val="21"/>
                <w:szCs w:val="21"/>
              </w:rPr>
            </w:pPr>
            <w:r>
              <w:rPr>
                <w:sz w:val="21"/>
                <w:szCs w:val="21"/>
              </w:rPr>
              <w:t>0.32</w:t>
            </w:r>
          </w:p>
        </w:tc>
        <w:tc>
          <w:tcPr>
            <w:vAlign w:val="center"/>
          </w:tcPr>
          <w:p w14:paraId="3DD4847A">
            <w:pPr>
              <w:rPr>
                <w:sz w:val="21"/>
                <w:szCs w:val="21"/>
              </w:rPr>
            </w:pPr>
            <w:r>
              <w:rPr>
                <w:sz w:val="21"/>
                <w:szCs w:val="21"/>
              </w:rPr>
              <w:t>5.53</w:t>
            </w:r>
          </w:p>
        </w:tc>
      </w:tr>
      <w:tr w14:paraId="746B828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4"/>
            <w:vAlign w:val="center"/>
          </w:tcPr>
          <w:p w14:paraId="4E0917C2">
            <w:pPr>
              <w:rPr>
                <w:sz w:val="21"/>
                <w:szCs w:val="21"/>
              </w:rPr>
            </w:pPr>
            <w:r>
              <w:rPr>
                <w:sz w:val="21"/>
                <w:szCs w:val="21"/>
              </w:rPr>
              <w:t>建筑局部评价指标</w:t>
            </w:r>
          </w:p>
        </w:tc>
        <w:tc>
          <w:tcPr>
            <w:vAlign w:val="center"/>
          </w:tcPr>
          <w:p w14:paraId="23B8A018">
            <w:pPr>
              <w:rPr>
                <w:sz w:val="21"/>
                <w:szCs w:val="21"/>
              </w:rPr>
            </w:pPr>
            <w:r>
              <w:rPr>
                <w:sz w:val="21"/>
                <w:szCs w:val="21"/>
              </w:rPr>
              <w:t>112.92</w:t>
            </w:r>
          </w:p>
        </w:tc>
        <w:tc>
          <w:tcPr>
            <w:vAlign w:val="center"/>
          </w:tcPr>
          <w:p w14:paraId="6EA73734">
            <w:pPr>
              <w:rPr>
                <w:sz w:val="21"/>
                <w:szCs w:val="21"/>
              </w:rPr>
            </w:pPr>
            <w:r>
              <w:rPr>
                <w:sz w:val="21"/>
                <w:szCs w:val="21"/>
              </w:rPr>
              <w:t>0.53</w:t>
            </w:r>
          </w:p>
        </w:tc>
        <w:tc>
          <w:tcPr>
            <w:vAlign w:val="center"/>
          </w:tcPr>
          <w:p w14:paraId="432710EE">
            <w:pPr>
              <w:rPr>
                <w:sz w:val="21"/>
                <w:szCs w:val="21"/>
              </w:rPr>
            </w:pPr>
            <w:r>
              <w:rPr>
                <w:sz w:val="21"/>
                <w:szCs w:val="21"/>
              </w:rPr>
              <w:t>0.36</w:t>
            </w:r>
          </w:p>
        </w:tc>
        <w:tc>
          <w:tcPr>
            <w:vAlign w:val="center"/>
          </w:tcPr>
          <w:p w14:paraId="766B2BE9">
            <w:pPr>
              <w:rPr>
                <w:sz w:val="21"/>
                <w:szCs w:val="21"/>
              </w:rPr>
            </w:pPr>
            <w:r>
              <w:rPr>
                <w:sz w:val="21"/>
                <w:szCs w:val="21"/>
              </w:rPr>
              <w:t>5.54</w:t>
            </w:r>
          </w:p>
        </w:tc>
      </w:tr>
    </w:tbl>
    <w:p w14:paraId="641664FA">
      <w:pPr>
        <w:spacing w:line="360" w:lineRule="exact"/>
        <w:rPr>
          <w:rFonts w:ascii="黑体" w:hAnsi="黑体" w:eastAsia="黑体"/>
          <w:szCs w:val="21"/>
          <w:lang w:val="en-US"/>
        </w:rPr>
      </w:pPr>
      <w:bookmarkStart w:id="78" w:name="达标统计表LPD"/>
      <w:bookmarkEnd w:id="78"/>
    </w:p>
    <w:p w14:paraId="76CAD06C">
      <w:pPr>
        <w:spacing w:line="360" w:lineRule="exact"/>
        <w:rPr>
          <w:szCs w:val="21"/>
          <w:lang w:val="en-US"/>
        </w:rPr>
      </w:pPr>
      <w:r>
        <w:rPr>
          <w:szCs w:val="21"/>
          <w:lang w:val="en-US"/>
        </w:rPr>
        <w:t>说明：房间的LPD值按照其在房间的分布进行面积加权平均，建筑整体的局部评价指标值按照建筑各主要功能房间的计算值进行面积加权平均得出。</w:t>
      </w:r>
      <w:bookmarkEnd w:id="77"/>
    </w:p>
    <w:p w14:paraId="082775E7">
      <w:pPr>
        <w:pStyle w:val="2"/>
      </w:pPr>
      <w:bookmarkStart w:id="79" w:name="_Toc20184"/>
      <w:r>
        <w:rPr>
          <w:rFonts w:hint="eastAsia"/>
        </w:rPr>
        <w:t>结论</w:t>
      </w:r>
      <w:bookmarkEnd w:id="79"/>
    </w:p>
    <w:p w14:paraId="219D7CBE">
      <w:pPr>
        <w:pStyle w:val="3"/>
        <w:ind w:firstLine="420"/>
        <w:rPr>
          <w:lang w:val="en-US"/>
        </w:rPr>
      </w:pPr>
      <w:r>
        <w:rPr>
          <w:rFonts w:hint="eastAsia"/>
          <w:lang w:val="en-US"/>
        </w:rPr>
        <w:t>该建筑主要功能房间热湿环境整体评价</w:t>
      </w:r>
      <w:r>
        <w:rPr>
          <w:lang w:val="en-US"/>
        </w:rPr>
        <w:t>指标</w:t>
      </w:r>
      <w:r>
        <w:rPr>
          <w:rFonts w:hint="eastAsia"/>
          <w:lang w:val="en-US"/>
        </w:rPr>
        <w:t>PMV和PPD达到整体评价</w:t>
      </w:r>
      <w:bookmarkStart w:id="80" w:name="整体评价级别"/>
      <w:r>
        <w:t>Ⅰ</w:t>
      </w:r>
      <w:bookmarkEnd w:id="80"/>
      <w:bookmarkStart w:id="81" w:name="整体评价得分"/>
      <w:bookmarkEnd w:id="81"/>
    </w:p>
    <w:p w14:paraId="7E0CA441">
      <w:pPr>
        <w:pStyle w:val="3"/>
        <w:ind w:firstLine="420"/>
        <w:rPr>
          <w:lang w:val="en-US"/>
        </w:rPr>
      </w:pPr>
      <w:bookmarkStart w:id="82" w:name="局部评价级别"/>
      <w:bookmarkEnd w:id="82"/>
      <w:bookmarkStart w:id="83" w:name="局部评价得分"/>
      <w:bookmarkEnd w:id="83"/>
    </w:p>
    <w:p w14:paraId="355B9D53">
      <w:pPr>
        <w:pStyle w:val="3"/>
        <w:ind w:firstLine="420"/>
        <w:rPr>
          <w:lang w:val="en-US"/>
        </w:rPr>
      </w:pPr>
      <w:bookmarkStart w:id="84" w:name="总得分"/>
      <w:bookmarkEnd w:id="84"/>
    </w:p>
    <w:p w14:paraId="2CB8B9FC">
      <w:pPr>
        <w:pStyle w:val="3"/>
        <w:ind w:firstLine="420"/>
        <w:rPr>
          <w:lang w:val="en-US"/>
        </w:rPr>
      </w:pPr>
      <w:r>
        <w:rPr>
          <w:lang w:val="en-US"/>
        </w:rPr>
        <w:br w:type="page"/>
      </w:r>
    </w:p>
    <w:p w14:paraId="1A9D990A">
      <w:pPr>
        <w:pStyle w:val="3"/>
        <w:ind w:firstLine="420"/>
        <w:rPr>
          <w:lang w:val="en-US"/>
        </w:rPr>
      </w:pPr>
    </w:p>
    <w:p w14:paraId="495AF887">
      <w:pPr>
        <w:pStyle w:val="3"/>
        <w:ind w:firstLine="420"/>
        <w:rPr>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Layout w:type="autofit"/>
      <w:tblCellMar>
        <w:top w:w="0" w:type="dxa"/>
        <w:left w:w="108" w:type="dxa"/>
        <w:bottom w:w="0" w:type="dxa"/>
        <w:right w:w="108" w:type="dxa"/>
      </w:tblCellMar>
    </w:tblPr>
    <w:tblGrid>
      <w:gridCol w:w="3020"/>
      <w:gridCol w:w="3020"/>
      <w:gridCol w:w="3020"/>
    </w:tblGrid>
    <w:tr w14:paraId="34C4C9EB">
      <w:tc>
        <w:tcPr>
          <w:tcW w:w="3020" w:type="dxa"/>
          <w:shd w:val="clear" w:color="auto" w:fill="auto"/>
        </w:tcPr>
        <w:p w14:paraId="3E3E8C10">
          <w:pPr>
            <w:pStyle w:val="17"/>
            <w:rPr>
              <w:rFonts w:ascii="宋体" w:hAnsi="宋体"/>
              <w:sz w:val="20"/>
              <w:szCs w:val="21"/>
            </w:rPr>
          </w:pPr>
          <w:r>
            <w:fldChar w:fldCharType="begin"/>
          </w:r>
          <w:r>
            <w:instrText xml:space="preserve"> HYPERLINK "http://www.gbsware.cn/" </w:instrText>
          </w:r>
          <w:r>
            <w:fldChar w:fldCharType="separate"/>
          </w:r>
          <w:r>
            <w:rPr>
              <w:rStyle w:val="26"/>
              <w:rFonts w:ascii="宋体" w:hAnsi="宋体"/>
              <w:sz w:val="20"/>
              <w:szCs w:val="21"/>
            </w:rPr>
            <w:t>http://www.gbsware.cn/</w:t>
          </w:r>
          <w:r>
            <w:rPr>
              <w:rStyle w:val="26"/>
              <w:rFonts w:ascii="宋体" w:hAnsi="宋体"/>
              <w:sz w:val="20"/>
              <w:szCs w:val="21"/>
            </w:rPr>
            <w:fldChar w:fldCharType="end"/>
          </w:r>
        </w:p>
      </w:tc>
      <w:tc>
        <w:tcPr>
          <w:tcW w:w="3020" w:type="dxa"/>
          <w:shd w:val="clear" w:color="auto" w:fill="auto"/>
        </w:tcPr>
        <w:p w14:paraId="27F1D691">
          <w:pPr>
            <w:pStyle w:val="17"/>
            <w:jc w:val="center"/>
            <w:rPr>
              <w:rFonts w:ascii="宋体" w:hAnsi="宋体"/>
              <w:sz w:val="20"/>
              <w:szCs w:val="21"/>
            </w:rPr>
          </w:pPr>
          <w:r>
            <w:rPr>
              <w:rFonts w:hint="eastAsia"/>
              <w:sz w:val="20"/>
            </w:rPr>
            <w:t>第</w:t>
          </w:r>
          <w:r>
            <w:rPr>
              <w:rFonts w:ascii="宋体" w:hAnsi="宋体"/>
              <w:bCs/>
              <w:sz w:val="20"/>
              <w:szCs w:val="21"/>
            </w:rPr>
            <w:fldChar w:fldCharType="begin"/>
          </w:r>
          <w:r>
            <w:rPr>
              <w:rFonts w:ascii="宋体" w:hAnsi="宋体"/>
              <w:bCs/>
              <w:sz w:val="20"/>
              <w:szCs w:val="21"/>
            </w:rPr>
            <w:instrText xml:space="preserve">PAGE</w:instrText>
          </w:r>
          <w:r>
            <w:rPr>
              <w:rFonts w:ascii="宋体" w:hAnsi="宋体"/>
              <w:bCs/>
              <w:sz w:val="20"/>
              <w:szCs w:val="21"/>
            </w:rPr>
            <w:fldChar w:fldCharType="separate"/>
          </w:r>
          <w:r>
            <w:rPr>
              <w:rFonts w:ascii="宋体" w:hAnsi="宋体"/>
              <w:bCs/>
              <w:sz w:val="20"/>
              <w:szCs w:val="21"/>
            </w:rPr>
            <w:t>4</w:t>
          </w:r>
          <w:r>
            <w:rPr>
              <w:rFonts w:ascii="宋体" w:hAnsi="宋体"/>
              <w:bCs/>
              <w:sz w:val="20"/>
              <w:szCs w:val="21"/>
            </w:rPr>
            <w:fldChar w:fldCharType="end"/>
          </w:r>
          <w:r>
            <w:rPr>
              <w:rFonts w:hint="eastAsia" w:ascii="宋体" w:hAnsi="宋体"/>
              <w:sz w:val="20"/>
              <w:szCs w:val="21"/>
              <w:lang w:val="zh-CN"/>
            </w:rPr>
            <w:t>页 共</w:t>
          </w:r>
          <w:r>
            <w:rPr>
              <w:rFonts w:ascii="宋体" w:hAnsi="宋体"/>
              <w:bCs/>
              <w:sz w:val="20"/>
              <w:szCs w:val="21"/>
            </w:rPr>
            <w:fldChar w:fldCharType="begin"/>
          </w:r>
          <w:r>
            <w:rPr>
              <w:rFonts w:ascii="宋体" w:hAnsi="宋体"/>
              <w:bCs/>
              <w:sz w:val="20"/>
              <w:szCs w:val="21"/>
            </w:rPr>
            <w:instrText xml:space="preserve">NUMPAGES</w:instrText>
          </w:r>
          <w:r>
            <w:rPr>
              <w:rFonts w:ascii="宋体" w:hAnsi="宋体"/>
              <w:bCs/>
              <w:sz w:val="20"/>
              <w:szCs w:val="21"/>
            </w:rPr>
            <w:fldChar w:fldCharType="separate"/>
          </w:r>
          <w:r>
            <w:rPr>
              <w:rFonts w:ascii="宋体" w:hAnsi="宋体"/>
              <w:bCs/>
              <w:sz w:val="20"/>
              <w:szCs w:val="21"/>
            </w:rPr>
            <w:t>13</w:t>
          </w:r>
          <w:r>
            <w:rPr>
              <w:rFonts w:ascii="宋体" w:hAnsi="宋体"/>
              <w:bCs/>
              <w:sz w:val="20"/>
              <w:szCs w:val="21"/>
            </w:rPr>
            <w:fldChar w:fldCharType="end"/>
          </w:r>
          <w:r>
            <w:rPr>
              <w:rFonts w:hint="eastAsia" w:ascii="宋体" w:hAnsi="宋体"/>
              <w:bCs/>
              <w:sz w:val="20"/>
              <w:szCs w:val="21"/>
            </w:rPr>
            <w:t>页</w:t>
          </w:r>
        </w:p>
      </w:tc>
      <w:tc>
        <w:tcPr>
          <w:tcW w:w="3020" w:type="dxa"/>
          <w:shd w:val="clear" w:color="auto" w:fill="auto"/>
        </w:tcPr>
        <w:p w14:paraId="63E69F0A">
          <w:pPr>
            <w:pStyle w:val="17"/>
            <w:jc w:val="right"/>
            <w:rPr>
              <w:rFonts w:ascii="宋体" w:hAnsi="宋体"/>
              <w:sz w:val="20"/>
              <w:szCs w:val="21"/>
            </w:rPr>
          </w:pPr>
          <w:r>
            <w:rPr>
              <w:rFonts w:ascii="宋体" w:hAnsi="宋体"/>
              <w:sz w:val="20"/>
              <w:szCs w:val="21"/>
            </w:rPr>
            <w:t>ITES20</w:t>
          </w:r>
          <w:r>
            <w:rPr>
              <w:rFonts w:hint="eastAsia" w:ascii="宋体" w:hAnsi="宋体"/>
              <w:sz w:val="20"/>
              <w:szCs w:val="21"/>
            </w:rPr>
            <w:t>2</w:t>
          </w:r>
          <w:r>
            <w:rPr>
              <w:rFonts w:ascii="宋体" w:hAnsi="宋体"/>
              <w:sz w:val="20"/>
              <w:szCs w:val="21"/>
            </w:rPr>
            <w:t>4</w:t>
          </w:r>
        </w:p>
      </w:tc>
    </w:tr>
  </w:tbl>
  <w:p w14:paraId="255140C4">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F44CF4">
    <w:pPr>
      <w:pStyle w:val="17"/>
      <w:jc w:val="center"/>
      <w:rPr>
        <w:rFonts w:ascii="宋体" w:hAnsi="宋体"/>
        <w:szCs w:val="21"/>
      </w:rPr>
    </w:pPr>
  </w:p>
  <w:p w14:paraId="5037BBFD">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7870C">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4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2E51FC"/>
    <w:rsid w:val="00000112"/>
    <w:rsid w:val="00005045"/>
    <w:rsid w:val="0000578F"/>
    <w:rsid w:val="0001338C"/>
    <w:rsid w:val="0002001E"/>
    <w:rsid w:val="000219DF"/>
    <w:rsid w:val="00023AEA"/>
    <w:rsid w:val="00026604"/>
    <w:rsid w:val="00037A4C"/>
    <w:rsid w:val="00053666"/>
    <w:rsid w:val="00061E8B"/>
    <w:rsid w:val="000678A8"/>
    <w:rsid w:val="00067FD6"/>
    <w:rsid w:val="00070047"/>
    <w:rsid w:val="00073958"/>
    <w:rsid w:val="00081A16"/>
    <w:rsid w:val="000C1855"/>
    <w:rsid w:val="000C291D"/>
    <w:rsid w:val="000C3B77"/>
    <w:rsid w:val="000D16B8"/>
    <w:rsid w:val="000D57B1"/>
    <w:rsid w:val="000D7A8A"/>
    <w:rsid w:val="000E4AE1"/>
    <w:rsid w:val="000F14F7"/>
    <w:rsid w:val="000F63BF"/>
    <w:rsid w:val="000F7EF2"/>
    <w:rsid w:val="0010102D"/>
    <w:rsid w:val="00101EBF"/>
    <w:rsid w:val="00106871"/>
    <w:rsid w:val="001105DA"/>
    <w:rsid w:val="00111EDF"/>
    <w:rsid w:val="00112118"/>
    <w:rsid w:val="00112DC5"/>
    <w:rsid w:val="00120AB8"/>
    <w:rsid w:val="00122AE1"/>
    <w:rsid w:val="00122DD1"/>
    <w:rsid w:val="001230DA"/>
    <w:rsid w:val="001240BB"/>
    <w:rsid w:val="00124784"/>
    <w:rsid w:val="00124E90"/>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5551"/>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4C74"/>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5485A"/>
    <w:rsid w:val="003630EE"/>
    <w:rsid w:val="0037000B"/>
    <w:rsid w:val="003747B9"/>
    <w:rsid w:val="0038554A"/>
    <w:rsid w:val="003857DF"/>
    <w:rsid w:val="003958B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81D85"/>
    <w:rsid w:val="00483193"/>
    <w:rsid w:val="00483636"/>
    <w:rsid w:val="00494ADE"/>
    <w:rsid w:val="0049520E"/>
    <w:rsid w:val="004A0D3B"/>
    <w:rsid w:val="004C7D33"/>
    <w:rsid w:val="004D230F"/>
    <w:rsid w:val="004D3820"/>
    <w:rsid w:val="004D449D"/>
    <w:rsid w:val="004D7AD4"/>
    <w:rsid w:val="004E2AEB"/>
    <w:rsid w:val="004F051E"/>
    <w:rsid w:val="004F0639"/>
    <w:rsid w:val="0050569B"/>
    <w:rsid w:val="00511D13"/>
    <w:rsid w:val="00512B1A"/>
    <w:rsid w:val="005215FB"/>
    <w:rsid w:val="00534283"/>
    <w:rsid w:val="00535C7A"/>
    <w:rsid w:val="00537E4B"/>
    <w:rsid w:val="00540765"/>
    <w:rsid w:val="00547D69"/>
    <w:rsid w:val="00552330"/>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05233"/>
    <w:rsid w:val="006105F7"/>
    <w:rsid w:val="00612E00"/>
    <w:rsid w:val="006156D5"/>
    <w:rsid w:val="0062338D"/>
    <w:rsid w:val="006253A8"/>
    <w:rsid w:val="006254D5"/>
    <w:rsid w:val="00634E08"/>
    <w:rsid w:val="0064005D"/>
    <w:rsid w:val="00642309"/>
    <w:rsid w:val="00643BE3"/>
    <w:rsid w:val="00651E51"/>
    <w:rsid w:val="00653B24"/>
    <w:rsid w:val="00654C63"/>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0A53"/>
    <w:rsid w:val="006B6C00"/>
    <w:rsid w:val="006C2D59"/>
    <w:rsid w:val="006C2DCC"/>
    <w:rsid w:val="006D02D6"/>
    <w:rsid w:val="006D0E3A"/>
    <w:rsid w:val="006D45E8"/>
    <w:rsid w:val="006E2867"/>
    <w:rsid w:val="006E3915"/>
    <w:rsid w:val="006E5E4E"/>
    <w:rsid w:val="006F0AC9"/>
    <w:rsid w:val="006F289F"/>
    <w:rsid w:val="006F3036"/>
    <w:rsid w:val="006F53A7"/>
    <w:rsid w:val="007064C5"/>
    <w:rsid w:val="007072BC"/>
    <w:rsid w:val="0071348B"/>
    <w:rsid w:val="0072222E"/>
    <w:rsid w:val="00726FC0"/>
    <w:rsid w:val="00741470"/>
    <w:rsid w:val="007446D1"/>
    <w:rsid w:val="0074750E"/>
    <w:rsid w:val="0075153F"/>
    <w:rsid w:val="00751D7B"/>
    <w:rsid w:val="00754FB6"/>
    <w:rsid w:val="00757189"/>
    <w:rsid w:val="0076163C"/>
    <w:rsid w:val="00762314"/>
    <w:rsid w:val="007628A1"/>
    <w:rsid w:val="00782889"/>
    <w:rsid w:val="00790965"/>
    <w:rsid w:val="007A0A77"/>
    <w:rsid w:val="007A20AF"/>
    <w:rsid w:val="007A5318"/>
    <w:rsid w:val="007A53C1"/>
    <w:rsid w:val="007B0E10"/>
    <w:rsid w:val="007B2D7C"/>
    <w:rsid w:val="007B3311"/>
    <w:rsid w:val="007B61C5"/>
    <w:rsid w:val="007C15B9"/>
    <w:rsid w:val="007C24D5"/>
    <w:rsid w:val="007C4F93"/>
    <w:rsid w:val="007C7FC3"/>
    <w:rsid w:val="007D02FB"/>
    <w:rsid w:val="007D386E"/>
    <w:rsid w:val="007E5D0D"/>
    <w:rsid w:val="007E6E69"/>
    <w:rsid w:val="0080105D"/>
    <w:rsid w:val="008050B3"/>
    <w:rsid w:val="008116E2"/>
    <w:rsid w:val="0081434D"/>
    <w:rsid w:val="00815874"/>
    <w:rsid w:val="008160AB"/>
    <w:rsid w:val="00820783"/>
    <w:rsid w:val="00821D1E"/>
    <w:rsid w:val="0082243C"/>
    <w:rsid w:val="00823CD7"/>
    <w:rsid w:val="00823E9B"/>
    <w:rsid w:val="00834E88"/>
    <w:rsid w:val="0083614F"/>
    <w:rsid w:val="00836F34"/>
    <w:rsid w:val="0084598F"/>
    <w:rsid w:val="0084742B"/>
    <w:rsid w:val="00851CA4"/>
    <w:rsid w:val="00856B3E"/>
    <w:rsid w:val="008659A5"/>
    <w:rsid w:val="00865A08"/>
    <w:rsid w:val="0086632A"/>
    <w:rsid w:val="0087011E"/>
    <w:rsid w:val="00876531"/>
    <w:rsid w:val="00880A06"/>
    <w:rsid w:val="00883D6C"/>
    <w:rsid w:val="00886207"/>
    <w:rsid w:val="008870D0"/>
    <w:rsid w:val="0088746A"/>
    <w:rsid w:val="00890F0D"/>
    <w:rsid w:val="008A48E6"/>
    <w:rsid w:val="008B115C"/>
    <w:rsid w:val="008B49CE"/>
    <w:rsid w:val="008B5F22"/>
    <w:rsid w:val="008C231A"/>
    <w:rsid w:val="008D7355"/>
    <w:rsid w:val="008E2A42"/>
    <w:rsid w:val="008E5E54"/>
    <w:rsid w:val="00902A4F"/>
    <w:rsid w:val="00920203"/>
    <w:rsid w:val="0092087D"/>
    <w:rsid w:val="00920FEB"/>
    <w:rsid w:val="00940C22"/>
    <w:rsid w:val="009471C2"/>
    <w:rsid w:val="00961563"/>
    <w:rsid w:val="00966AA0"/>
    <w:rsid w:val="009671F5"/>
    <w:rsid w:val="00972F40"/>
    <w:rsid w:val="00974ECB"/>
    <w:rsid w:val="00975F76"/>
    <w:rsid w:val="009812A9"/>
    <w:rsid w:val="00986687"/>
    <w:rsid w:val="009904E5"/>
    <w:rsid w:val="00992384"/>
    <w:rsid w:val="00997AA2"/>
    <w:rsid w:val="009A2274"/>
    <w:rsid w:val="009A31E4"/>
    <w:rsid w:val="009A3B50"/>
    <w:rsid w:val="009A4F1F"/>
    <w:rsid w:val="009C1CEB"/>
    <w:rsid w:val="009C4AB3"/>
    <w:rsid w:val="009D02D7"/>
    <w:rsid w:val="009E2DE9"/>
    <w:rsid w:val="009F2CAC"/>
    <w:rsid w:val="00A06775"/>
    <w:rsid w:val="00A11D6B"/>
    <w:rsid w:val="00A2117D"/>
    <w:rsid w:val="00A23D26"/>
    <w:rsid w:val="00A273C5"/>
    <w:rsid w:val="00A306C2"/>
    <w:rsid w:val="00A32590"/>
    <w:rsid w:val="00A327ED"/>
    <w:rsid w:val="00A352C9"/>
    <w:rsid w:val="00A355BD"/>
    <w:rsid w:val="00A37A08"/>
    <w:rsid w:val="00A41C1F"/>
    <w:rsid w:val="00A4318E"/>
    <w:rsid w:val="00A50D66"/>
    <w:rsid w:val="00A566CB"/>
    <w:rsid w:val="00A67355"/>
    <w:rsid w:val="00A7462A"/>
    <w:rsid w:val="00A8181B"/>
    <w:rsid w:val="00A8393F"/>
    <w:rsid w:val="00A9025F"/>
    <w:rsid w:val="00A968A5"/>
    <w:rsid w:val="00AA092F"/>
    <w:rsid w:val="00AA0A05"/>
    <w:rsid w:val="00AA26C7"/>
    <w:rsid w:val="00AA3FFF"/>
    <w:rsid w:val="00AA47FE"/>
    <w:rsid w:val="00AB00F6"/>
    <w:rsid w:val="00AB3E6E"/>
    <w:rsid w:val="00AB5C98"/>
    <w:rsid w:val="00AC7C9E"/>
    <w:rsid w:val="00AC7EEF"/>
    <w:rsid w:val="00AD1722"/>
    <w:rsid w:val="00AD239C"/>
    <w:rsid w:val="00AE0FC4"/>
    <w:rsid w:val="00AE4F59"/>
    <w:rsid w:val="00AE5F8F"/>
    <w:rsid w:val="00B068C5"/>
    <w:rsid w:val="00B11FE8"/>
    <w:rsid w:val="00B121A8"/>
    <w:rsid w:val="00B13A4A"/>
    <w:rsid w:val="00B14131"/>
    <w:rsid w:val="00B16E7C"/>
    <w:rsid w:val="00B20DC9"/>
    <w:rsid w:val="00B25777"/>
    <w:rsid w:val="00B27308"/>
    <w:rsid w:val="00B32B1D"/>
    <w:rsid w:val="00B41640"/>
    <w:rsid w:val="00B44806"/>
    <w:rsid w:val="00B51A2D"/>
    <w:rsid w:val="00B55B22"/>
    <w:rsid w:val="00B5736D"/>
    <w:rsid w:val="00B60841"/>
    <w:rsid w:val="00B65211"/>
    <w:rsid w:val="00B67401"/>
    <w:rsid w:val="00B67D57"/>
    <w:rsid w:val="00B71B30"/>
    <w:rsid w:val="00B73C41"/>
    <w:rsid w:val="00B7457E"/>
    <w:rsid w:val="00B74C33"/>
    <w:rsid w:val="00B754F3"/>
    <w:rsid w:val="00B85F17"/>
    <w:rsid w:val="00BA05D2"/>
    <w:rsid w:val="00BA2C3C"/>
    <w:rsid w:val="00BB5BCC"/>
    <w:rsid w:val="00BB6E3E"/>
    <w:rsid w:val="00BD0C1B"/>
    <w:rsid w:val="00BE0E75"/>
    <w:rsid w:val="00BE1983"/>
    <w:rsid w:val="00BE4681"/>
    <w:rsid w:val="00BE7551"/>
    <w:rsid w:val="00BE75B4"/>
    <w:rsid w:val="00BE7E24"/>
    <w:rsid w:val="00BF173E"/>
    <w:rsid w:val="00BF7629"/>
    <w:rsid w:val="00C02F71"/>
    <w:rsid w:val="00C03066"/>
    <w:rsid w:val="00C15B1A"/>
    <w:rsid w:val="00C3112C"/>
    <w:rsid w:val="00C37EFB"/>
    <w:rsid w:val="00C50BDB"/>
    <w:rsid w:val="00C57197"/>
    <w:rsid w:val="00C63237"/>
    <w:rsid w:val="00C67778"/>
    <w:rsid w:val="00C724FA"/>
    <w:rsid w:val="00C72E58"/>
    <w:rsid w:val="00C86FAA"/>
    <w:rsid w:val="00C87AC6"/>
    <w:rsid w:val="00C976BE"/>
    <w:rsid w:val="00C97E25"/>
    <w:rsid w:val="00C97F88"/>
    <w:rsid w:val="00CA1378"/>
    <w:rsid w:val="00CB0266"/>
    <w:rsid w:val="00CB0F5E"/>
    <w:rsid w:val="00CB2732"/>
    <w:rsid w:val="00CB5324"/>
    <w:rsid w:val="00CD1D09"/>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5229"/>
    <w:rsid w:val="00D45C26"/>
    <w:rsid w:val="00D45D1C"/>
    <w:rsid w:val="00D45F5B"/>
    <w:rsid w:val="00D471DD"/>
    <w:rsid w:val="00D5111E"/>
    <w:rsid w:val="00D51770"/>
    <w:rsid w:val="00D56084"/>
    <w:rsid w:val="00D5677E"/>
    <w:rsid w:val="00D57354"/>
    <w:rsid w:val="00D62A9A"/>
    <w:rsid w:val="00D65980"/>
    <w:rsid w:val="00D678AB"/>
    <w:rsid w:val="00D75C7F"/>
    <w:rsid w:val="00D9645E"/>
    <w:rsid w:val="00DA0532"/>
    <w:rsid w:val="00DA4173"/>
    <w:rsid w:val="00DA66B2"/>
    <w:rsid w:val="00DB09A4"/>
    <w:rsid w:val="00DC090E"/>
    <w:rsid w:val="00DC5E38"/>
    <w:rsid w:val="00DC62E7"/>
    <w:rsid w:val="00DC73AD"/>
    <w:rsid w:val="00DD16C4"/>
    <w:rsid w:val="00DD2870"/>
    <w:rsid w:val="00DE50D2"/>
    <w:rsid w:val="00DF470C"/>
    <w:rsid w:val="00DF486E"/>
    <w:rsid w:val="00DF4B1A"/>
    <w:rsid w:val="00DF67BB"/>
    <w:rsid w:val="00E05025"/>
    <w:rsid w:val="00E10A3D"/>
    <w:rsid w:val="00E10F16"/>
    <w:rsid w:val="00E11160"/>
    <w:rsid w:val="00E13A4B"/>
    <w:rsid w:val="00E14637"/>
    <w:rsid w:val="00E14A0C"/>
    <w:rsid w:val="00E154B5"/>
    <w:rsid w:val="00E1693B"/>
    <w:rsid w:val="00E16C90"/>
    <w:rsid w:val="00E243C8"/>
    <w:rsid w:val="00E263C0"/>
    <w:rsid w:val="00E267AA"/>
    <w:rsid w:val="00E27B4C"/>
    <w:rsid w:val="00E36856"/>
    <w:rsid w:val="00E47BF2"/>
    <w:rsid w:val="00E52B53"/>
    <w:rsid w:val="00E53995"/>
    <w:rsid w:val="00E60BFC"/>
    <w:rsid w:val="00E660D6"/>
    <w:rsid w:val="00E70F7F"/>
    <w:rsid w:val="00E71990"/>
    <w:rsid w:val="00E7640D"/>
    <w:rsid w:val="00E81ACD"/>
    <w:rsid w:val="00E872A7"/>
    <w:rsid w:val="00E90F14"/>
    <w:rsid w:val="00E91454"/>
    <w:rsid w:val="00EA58C9"/>
    <w:rsid w:val="00EA5DEE"/>
    <w:rsid w:val="00EB07D7"/>
    <w:rsid w:val="00EB1BD1"/>
    <w:rsid w:val="00EB6181"/>
    <w:rsid w:val="00EB67C0"/>
    <w:rsid w:val="00EC43F8"/>
    <w:rsid w:val="00EC658F"/>
    <w:rsid w:val="00EC749D"/>
    <w:rsid w:val="00ED6BB7"/>
    <w:rsid w:val="00EE1BA7"/>
    <w:rsid w:val="00EE68A9"/>
    <w:rsid w:val="00EE7411"/>
    <w:rsid w:val="00EF3DA5"/>
    <w:rsid w:val="00EF60A9"/>
    <w:rsid w:val="00EF6457"/>
    <w:rsid w:val="00EF7114"/>
    <w:rsid w:val="00EF7501"/>
    <w:rsid w:val="00F0656F"/>
    <w:rsid w:val="00F2434E"/>
    <w:rsid w:val="00F30C12"/>
    <w:rsid w:val="00F4008A"/>
    <w:rsid w:val="00F40D4B"/>
    <w:rsid w:val="00F418EC"/>
    <w:rsid w:val="00F5023B"/>
    <w:rsid w:val="00F56160"/>
    <w:rsid w:val="00F663D7"/>
    <w:rsid w:val="00F676B0"/>
    <w:rsid w:val="00F67DF1"/>
    <w:rsid w:val="00F7520A"/>
    <w:rsid w:val="00F75DD1"/>
    <w:rsid w:val="00F934CD"/>
    <w:rsid w:val="00F97363"/>
    <w:rsid w:val="00FA4B87"/>
    <w:rsid w:val="00FA58D9"/>
    <w:rsid w:val="00FA692C"/>
    <w:rsid w:val="00FB28FF"/>
    <w:rsid w:val="00FC7756"/>
    <w:rsid w:val="00FE2E78"/>
    <w:rsid w:val="00FE46F3"/>
    <w:rsid w:val="00FE4CC4"/>
    <w:rsid w:val="00FE79B9"/>
    <w:rsid w:val="00FF2243"/>
    <w:rsid w:val="00FF5A70"/>
    <w:rsid w:val="4B2E51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7" Type="http://schemas.openxmlformats.org/officeDocument/2006/relationships/fontTable" Target="fontTable.xml"/><Relationship Id="rId66" Type="http://schemas.openxmlformats.org/officeDocument/2006/relationships/customXml" Target="../customXml/item1.xml"/><Relationship Id="rId65" Type="http://schemas.openxmlformats.org/officeDocument/2006/relationships/numbering" Target="numbering.xml"/><Relationship Id="rId64" Type="http://schemas.openxmlformats.org/officeDocument/2006/relationships/image" Target="media/image56.png"/><Relationship Id="rId63" Type="http://schemas.openxmlformats.org/officeDocument/2006/relationships/image" Target="media/image55.png"/><Relationship Id="rId62" Type="http://schemas.openxmlformats.org/officeDocument/2006/relationships/image" Target="media/image54.png"/><Relationship Id="rId61" Type="http://schemas.openxmlformats.org/officeDocument/2006/relationships/image" Target="media/image53.png"/><Relationship Id="rId60" Type="http://schemas.openxmlformats.org/officeDocument/2006/relationships/image" Target="media/image52.png"/><Relationship Id="rId6" Type="http://schemas.openxmlformats.org/officeDocument/2006/relationships/footer" Target="footer1.xml"/><Relationship Id="rId59" Type="http://schemas.openxmlformats.org/officeDocument/2006/relationships/image" Target="media/image51.png"/><Relationship Id="rId58" Type="http://schemas.openxmlformats.org/officeDocument/2006/relationships/image" Target="media/image50.png"/><Relationship Id="rId57" Type="http://schemas.openxmlformats.org/officeDocument/2006/relationships/image" Target="media/image49.png"/><Relationship Id="rId56" Type="http://schemas.openxmlformats.org/officeDocument/2006/relationships/image" Target="media/image48.png"/><Relationship Id="rId55" Type="http://schemas.openxmlformats.org/officeDocument/2006/relationships/image" Target="media/image47.png"/><Relationship Id="rId54" Type="http://schemas.openxmlformats.org/officeDocument/2006/relationships/image" Target="media/image46.wmf"/><Relationship Id="rId53" Type="http://schemas.openxmlformats.org/officeDocument/2006/relationships/oleObject" Target="embeddings/oleObject1.bin"/><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est\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FBFFF-AFB6-479D-AAD8-970B3ED1F719}">
  <ds:schemaRefs/>
</ds:datastoreItem>
</file>

<file path=docProps/app.xml><?xml version="1.0" encoding="utf-8"?>
<Properties xmlns="http://schemas.openxmlformats.org/officeDocument/2006/extended-properties" xmlns:vt="http://schemas.openxmlformats.org/officeDocument/2006/docPropsVTypes">
  <Template>tmp3.dotx</Template>
  <Pages>16</Pages>
  <Words>3513</Words>
  <Characters>4406</Characters>
  <Lines>46</Lines>
  <Paragraphs>13</Paragraphs>
  <TotalTime>0</TotalTime>
  <ScaleCrop>false</ScaleCrop>
  <LinksUpToDate>false</LinksUpToDate>
  <CharactersWithSpaces>7092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2025-03-10T03:49:00Z</dcterms:created>
  <dc:creator>fernest</dc:creator>
  <cp:lastModifiedBy>fernest</cp:lastModifiedBy>
  <dcterms:modified xsi:type="dcterms:W3CDTF">2025-03-10T03:50:03Z</dcterms:modified>
  <dc:title>健康建筑室内热湿环境达标报告书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CB1EBCE4710C4D85915F75504C9F4AAE_11</vt:lpwstr>
  </property>
  <property fmtid="{D5CDD505-2E9C-101B-9397-08002B2CF9AE}" pid="3" name="KSOTemplateDocerSaveRecord">
    <vt:lpwstr>eyJoZGlkIjoiYjE1OGYyMThlYjFlMGNiMzMxOWQ2NGJhOGJmZjM0NzEifQ==</vt:lpwstr>
  </property>
  <property fmtid="{D5CDD505-2E9C-101B-9397-08002B2CF9AE}" pid="4" name="KSOProductBuildVer">
    <vt:lpwstr>2052-12.1.0.20305</vt:lpwstr>
  </property>
</Properties>
</file>