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节能型电气设备分项计量相关记录</w:t>
      </w:r>
    </w:p>
    <w:p>
      <w:pPr>
        <w:pStyle w:val="Heading2"/>
      </w:pPr>
      <w:r>
        <w:t xml:space="preserve">一、竣工验收记录</w:t>
      </w:r>
    </w:p>
    <w:p>
      <w:pPr>
        <w:pStyle w:val="Heading3"/>
      </w:pPr>
      <w:r>
        <w:t xml:space="preserve">（一）照明系统</w:t>
      </w:r>
    </w:p>
    <w:p>
      <w:pPr>
        <w:pStyle w:val="text"/>
        <w:numPr>
          <w:ilvl w:val="0"/>
          <w:numId w:val="2"/>
        </w:numPr>
      </w:pPr>
      <w:r>
        <w:rPr>
          <w:b/>
          <w:bCs/>
        </w:rPr>
        <w:t xml:space="preserve">功率密度验收</w:t>
      </w:r>
    </w:p>
    <w:p>
      <w:pPr>
        <w:pStyle w:val="text"/>
        <w:numPr>
          <w:ilvl w:val="1"/>
          <w:numId w:val="3"/>
        </w:numPr>
      </w:pPr>
      <w:r>
        <w:rPr>
          <w:b/>
          <w:bCs/>
        </w:rPr>
        <w:t xml:space="preserve">验收标准</w:t>
      </w:r>
      <w:r>
        <w:t xml:space="preserve">：依据《建筑照明设计标准》GB 50034，主要功能房间照明功率密度值需达到目标值。</w:t>
      </w:r>
    </w:p>
    <w:p>
      <w:pPr>
        <w:pStyle w:val="text"/>
        <w:numPr>
          <w:ilvl w:val="1"/>
          <w:numId w:val="3"/>
        </w:numPr>
      </w:pPr>
      <w:r>
        <w:rPr>
          <w:b/>
          <w:bCs/>
        </w:rPr>
        <w:t xml:space="preserve">验收情况</w:t>
      </w:r>
      <w:r>
        <w:t xml:space="preserve">：对各主要功能房间进行抽样检测，共检测 [X] 个房间。使用专业功率密度检测仪器，测量结果显示所有检测房间的照明功率密度值均符合标准要求，满足得 5 分条件。</w:t>
      </w:r>
    </w:p>
    <w:p>
      <w:pPr>
        <w:pStyle w:val="text"/>
        <w:numPr>
          <w:ilvl w:val="1"/>
          <w:numId w:val="3"/>
        </w:numPr>
      </w:pPr>
      <w:r>
        <w:rPr>
          <w:b/>
          <w:bCs/>
        </w:rPr>
        <w:t xml:space="preserve">分项计量关联</w:t>
      </w:r>
      <w:r>
        <w:t xml:space="preserve">：照明系统作为独立分项，其功率密度达标情况直接影响分项能耗计量数据的准确性与合理性。达标意味着在照明分项能耗中，可有效控制单位面积能耗，为后续能耗分析提供可靠基础。</w:t>
      </w:r>
    </w:p>
    <w:p>
      <w:pPr>
        <w:pStyle w:val="text"/>
        <w:numPr>
          <w:ilvl w:val="0"/>
          <w:numId w:val="4"/>
        </w:numPr>
      </w:pPr>
      <w:r>
        <w:rPr>
          <w:b/>
          <w:bCs/>
        </w:rPr>
        <w:t xml:space="preserve">采光区域智能调光验收</w:t>
      </w:r>
    </w:p>
    <w:p>
      <w:pPr>
        <w:pStyle w:val="text"/>
        <w:numPr>
          <w:ilvl w:val="1"/>
          <w:numId w:val="3"/>
        </w:numPr>
      </w:pPr>
      <w:r>
        <w:rPr>
          <w:b/>
          <w:bCs/>
        </w:rPr>
        <w:t xml:space="preserve">验收标准</w:t>
      </w:r>
      <w:r>
        <w:t xml:space="preserve">：采光区域人工照明应能随天然光照度变化自动调节。</w:t>
      </w:r>
    </w:p>
    <w:p>
      <w:pPr>
        <w:pStyle w:val="text"/>
        <w:numPr>
          <w:ilvl w:val="1"/>
          <w:numId w:val="3"/>
        </w:numPr>
      </w:pPr>
      <w:r>
        <w:rPr>
          <w:b/>
          <w:bCs/>
        </w:rPr>
        <w:t xml:space="preserve">验收情况</w:t>
      </w:r>
      <w:r>
        <w:t xml:space="preserve">：在采光区域设置模拟天然光照度变化场景，测试照明灯具自动调节功能。共进行 [X] 次测试，灯具均能准确、迅速响应光照度变化，自动调节亮度，满足得 2 分条件。</w:t>
      </w:r>
    </w:p>
    <w:p>
      <w:pPr>
        <w:pStyle w:val="text"/>
        <w:numPr>
          <w:ilvl w:val="1"/>
          <w:numId w:val="3"/>
        </w:numPr>
      </w:pPr>
      <w:r>
        <w:rPr>
          <w:b/>
          <w:bCs/>
        </w:rPr>
        <w:t xml:space="preserve">分项计量关联</w:t>
      </w:r>
      <w:r>
        <w:t xml:space="preserve">：采光区域照明的自动调节功能实现了照明能耗的动态控制。通过分项计量系统，可清晰记录不同时段、不同光照条件下该区域照明能耗数据，便于分析节能效果与能耗规律。</w:t>
      </w:r>
    </w:p>
    <w:p>
      <w:pPr>
        <w:pStyle w:val="Heading3"/>
      </w:pPr>
      <w:r>
        <w:t xml:space="preserve">（二）三相配电变压器</w:t>
      </w:r>
    </w:p>
    <w:p>
      <w:pPr>
        <w:pStyle w:val="text"/>
        <w:numPr>
          <w:ilvl w:val="0"/>
          <w:numId w:val="5"/>
        </w:numPr>
      </w:pPr>
      <w:r>
        <w:rPr>
          <w:b/>
          <w:bCs/>
        </w:rPr>
        <w:t xml:space="preserve">节能性能验收</w:t>
      </w:r>
    </w:p>
    <w:p>
      <w:pPr>
        <w:pStyle w:val="text"/>
        <w:numPr>
          <w:ilvl w:val="1"/>
          <w:numId w:val="3"/>
        </w:numPr>
      </w:pPr>
      <w:r>
        <w:rPr>
          <w:b/>
          <w:bCs/>
        </w:rPr>
        <w:t xml:space="preserve">验收标准</w:t>
      </w:r>
      <w:r>
        <w:t xml:space="preserve">：各项性能指标满足国家现行有关标准的节能评价值要求。</w:t>
      </w:r>
    </w:p>
    <w:p>
      <w:pPr>
        <w:pStyle w:val="text"/>
        <w:numPr>
          <w:ilvl w:val="1"/>
          <w:numId w:val="3"/>
        </w:numPr>
      </w:pPr>
      <w:r>
        <w:rPr>
          <w:b/>
          <w:bCs/>
        </w:rPr>
        <w:t xml:space="preserve">验收情况</w:t>
      </w:r>
      <w:r>
        <w:t xml:space="preserve">：查阅权威检测机构出具的检测报告，三相配电变压器的空载损耗和负载损耗等指标均符合标准。同时，现场检查变压器运行状态，运行平稳，无异响与过热现象。满足得 3 分条件。</w:t>
      </w:r>
    </w:p>
    <w:p>
      <w:pPr>
        <w:pStyle w:val="text"/>
        <w:numPr>
          <w:ilvl w:val="1"/>
          <w:numId w:val="3"/>
        </w:numPr>
      </w:pPr>
      <w:r>
        <w:rPr>
          <w:b/>
          <w:bCs/>
        </w:rPr>
        <w:t xml:space="preserve">分项计量关联</w:t>
      </w:r>
      <w:r>
        <w:t xml:space="preserve">：三相配电变压器作为电力分配的关键设备，其能耗在整个建筑电力分项中占比重大。节能性能达标可降低变压器自身能耗，在分项计量中体现为该设备能耗数据的减少，有助于整体电力能耗的降低。</w:t>
      </w:r>
    </w:p>
    <w:p>
      <w:pPr>
        <w:pStyle w:val="Heading3"/>
      </w:pPr>
      <w:r>
        <w:t xml:space="preserve">（三）水泵与风机</w:t>
      </w:r>
    </w:p>
    <w:p>
      <w:pPr>
        <w:pStyle w:val="text"/>
        <w:numPr>
          <w:ilvl w:val="0"/>
          <w:numId w:val="6"/>
        </w:numPr>
      </w:pPr>
      <w:r>
        <w:rPr>
          <w:b/>
          <w:bCs/>
        </w:rPr>
        <w:t xml:space="preserve">节能评价值验收</w:t>
      </w:r>
    </w:p>
    <w:p>
      <w:pPr>
        <w:pStyle w:val="text"/>
        <w:numPr>
          <w:ilvl w:val="1"/>
          <w:numId w:val="3"/>
        </w:numPr>
      </w:pPr>
      <w:r>
        <w:rPr>
          <w:b/>
          <w:bCs/>
        </w:rPr>
        <w:t xml:space="preserve">验收标准</w:t>
      </w:r>
      <w:r>
        <w:t xml:space="preserve">：水泵和风机性能符合国家现行有关标准的节能评价值要求。</w:t>
      </w:r>
    </w:p>
    <w:p>
      <w:pPr>
        <w:pStyle w:val="text"/>
        <w:numPr>
          <w:ilvl w:val="1"/>
          <w:numId w:val="3"/>
        </w:numPr>
      </w:pPr>
      <w:r>
        <w:rPr>
          <w:b/>
          <w:bCs/>
        </w:rPr>
        <w:t xml:space="preserve">验收情况</w:t>
      </w:r>
      <w:r>
        <w:t xml:space="preserve">：查看检测报告，水泵和风机的能效比等指标均达到标准。现场试运行，设备运行稳定，风量、水量输出满足设计要求。满足得 3 分条件。</w:t>
      </w:r>
    </w:p>
    <w:p>
      <w:pPr>
        <w:pStyle w:val="text"/>
        <w:numPr>
          <w:ilvl w:val="1"/>
          <w:numId w:val="3"/>
        </w:numPr>
      </w:pPr>
      <w:r>
        <w:rPr>
          <w:b/>
          <w:bCs/>
        </w:rPr>
        <w:t xml:space="preserve">分项计量关联</w:t>
      </w:r>
      <w:r>
        <w:t xml:space="preserve">：水泵与风机是建筑能耗较大的设备，作为独立分项，其节能性能直接影响该分项能耗数据。节能达标可有效降低设备运行能耗，通过分项计量系统，可直观看到该分项能耗的下降趋势，为能耗管理提供数据支持。</w:t>
      </w:r>
    </w:p>
    <w:p>
      <w:pPr>
        <w:pStyle w:val="Heading2"/>
      </w:pPr>
      <w:r>
        <w:t xml:space="preserve">二、现场检查记录</w:t>
      </w:r>
    </w:p>
    <w:p>
      <w:pPr>
        <w:pStyle w:val="Heading3"/>
      </w:pPr>
      <w:r>
        <w:t xml:space="preserve">（一）照明系统</w:t>
      </w:r>
    </w:p>
    <w:p>
      <w:pPr>
        <w:pStyle w:val="text"/>
        <w:numPr>
          <w:ilvl w:val="0"/>
          <w:numId w:val="7"/>
        </w:numPr>
      </w:pPr>
      <w:r>
        <w:rPr>
          <w:b/>
          <w:bCs/>
        </w:rPr>
        <w:t xml:space="preserve">功率密度检查</w:t>
      </w:r>
    </w:p>
    <w:p>
      <w:pPr>
        <w:pStyle w:val="text"/>
        <w:numPr>
          <w:ilvl w:val="1"/>
          <w:numId w:val="3"/>
        </w:numPr>
      </w:pPr>
      <w:r>
        <w:rPr>
          <w:b/>
          <w:bCs/>
        </w:rPr>
        <w:t xml:space="preserve">检查时间</w:t>
      </w:r>
      <w:r>
        <w:t xml:space="preserve">：[具体日期与时间]</w:t>
      </w:r>
    </w:p>
    <w:p>
      <w:pPr>
        <w:pStyle w:val="text"/>
        <w:numPr>
          <w:ilvl w:val="1"/>
          <w:numId w:val="3"/>
        </w:numPr>
      </w:pPr>
      <w:r>
        <w:rPr>
          <w:b/>
          <w:bCs/>
        </w:rPr>
        <w:t xml:space="preserve">检查人员</w:t>
      </w:r>
      <w:r>
        <w:t xml:space="preserve">：[姓名 1]、[姓名 2]</w:t>
      </w:r>
    </w:p>
    <w:p>
      <w:pPr>
        <w:pStyle w:val="text"/>
        <w:numPr>
          <w:ilvl w:val="1"/>
          <w:numId w:val="3"/>
        </w:numPr>
      </w:pPr>
      <w:r>
        <w:rPr>
          <w:b/>
          <w:bCs/>
        </w:rPr>
        <w:t xml:space="preserve">检查情况</w:t>
      </w:r>
      <w:r>
        <w:t xml:space="preserve">：随机抽取 [X] 个主要功能房间，使用功率密度测试仪进行测量。记录每个房间的测量值，与标准目标值对比，均在合格范围内。</w:t>
      </w:r>
    </w:p>
    <w:p>
      <w:pPr>
        <w:pStyle w:val="text"/>
        <w:numPr>
          <w:ilvl w:val="1"/>
          <w:numId w:val="3"/>
        </w:numPr>
      </w:pPr>
      <w:r>
        <w:rPr>
          <w:b/>
          <w:bCs/>
        </w:rPr>
        <w:t xml:space="preserve">问题与处理</w:t>
      </w:r>
      <w:r>
        <w:t xml:space="preserve">：无异常情况。</w:t>
      </w:r>
    </w:p>
    <w:p>
      <w:pPr>
        <w:pStyle w:val="text"/>
        <w:numPr>
          <w:ilvl w:val="1"/>
          <w:numId w:val="3"/>
        </w:numPr>
      </w:pPr>
      <w:r>
        <w:rPr>
          <w:b/>
          <w:bCs/>
        </w:rPr>
        <w:t xml:space="preserve">分项计量关联</w:t>
      </w:r>
      <w:r>
        <w:t xml:space="preserve">：确保照明系统功率密度符合标准，是保证分项计量准确性的前提。若功率密度超标，将导致照明分项能耗计量数据偏高，影响整体能耗分析。</w:t>
      </w:r>
    </w:p>
    <w:p>
      <w:pPr>
        <w:pStyle w:val="text"/>
        <w:numPr>
          <w:ilvl w:val="0"/>
          <w:numId w:val="8"/>
        </w:numPr>
      </w:pPr>
      <w:r>
        <w:rPr>
          <w:b/>
          <w:bCs/>
        </w:rPr>
        <w:t xml:space="preserve">采光区域智能调光检查</w:t>
      </w:r>
    </w:p>
    <w:p>
      <w:pPr>
        <w:pStyle w:val="text"/>
        <w:numPr>
          <w:ilvl w:val="1"/>
          <w:numId w:val="3"/>
        </w:numPr>
      </w:pPr>
      <w:r>
        <w:rPr>
          <w:b/>
          <w:bCs/>
        </w:rPr>
        <w:t xml:space="preserve">检查时间</w:t>
      </w:r>
      <w:r>
        <w:t xml:space="preserve">：[具体日期与时间]</w:t>
      </w:r>
    </w:p>
    <w:p>
      <w:pPr>
        <w:pStyle w:val="text"/>
        <w:numPr>
          <w:ilvl w:val="1"/>
          <w:numId w:val="3"/>
        </w:numPr>
      </w:pPr>
      <w:r>
        <w:rPr>
          <w:b/>
          <w:bCs/>
        </w:rPr>
        <w:t xml:space="preserve">检查人员</w:t>
      </w:r>
      <w:r>
        <w:t xml:space="preserve">：[姓名 1]、[姓名 2]</w:t>
      </w:r>
    </w:p>
    <w:p>
      <w:pPr>
        <w:pStyle w:val="text"/>
        <w:numPr>
          <w:ilvl w:val="1"/>
          <w:numId w:val="3"/>
        </w:numPr>
      </w:pPr>
      <w:r>
        <w:rPr>
          <w:b/>
          <w:bCs/>
        </w:rPr>
        <w:t xml:space="preserve">检查情况</w:t>
      </w:r>
      <w:r>
        <w:t xml:space="preserve">：在采光区域手动模拟不同光照度环境，观察照明灯具的调节情况。灯具能够及时响应，亮度调节顺畅。</w:t>
      </w:r>
    </w:p>
    <w:p>
      <w:pPr>
        <w:pStyle w:val="text"/>
        <w:numPr>
          <w:ilvl w:val="1"/>
          <w:numId w:val="3"/>
        </w:numPr>
      </w:pPr>
      <w:r>
        <w:rPr>
          <w:b/>
          <w:bCs/>
        </w:rPr>
        <w:t xml:space="preserve">问题与处理</w:t>
      </w:r>
      <w:r>
        <w:t xml:space="preserve">：无异常情况。</w:t>
      </w:r>
    </w:p>
    <w:p>
      <w:pPr>
        <w:pStyle w:val="text"/>
        <w:numPr>
          <w:ilvl w:val="1"/>
          <w:numId w:val="3"/>
        </w:numPr>
      </w:pPr>
      <w:r>
        <w:rPr>
          <w:b/>
          <w:bCs/>
        </w:rPr>
        <w:t xml:space="preserve">分项计量关联</w:t>
      </w:r>
      <w:r>
        <w:t xml:space="preserve">：采光区域智能调光功能正常运行，有助于准确记录不同光照条件下的照明能耗，为分项计量提供真实、动态的能耗数据。</w:t>
      </w:r>
    </w:p>
    <w:p>
      <w:pPr>
        <w:pStyle w:val="Heading3"/>
      </w:pPr>
      <w:r>
        <w:t xml:space="preserve">（二）三相配电变压器</w:t>
      </w:r>
    </w:p>
    <w:p>
      <w:pPr>
        <w:pStyle w:val="text"/>
        <w:numPr>
          <w:ilvl w:val="0"/>
          <w:numId w:val="9"/>
        </w:numPr>
      </w:pPr>
      <w:r>
        <w:rPr>
          <w:b/>
          <w:bCs/>
        </w:rPr>
        <w:t xml:space="preserve">节能性能检查</w:t>
      </w:r>
    </w:p>
    <w:p>
      <w:pPr>
        <w:pStyle w:val="text"/>
        <w:numPr>
          <w:ilvl w:val="1"/>
          <w:numId w:val="3"/>
        </w:numPr>
      </w:pPr>
      <w:r>
        <w:rPr>
          <w:b/>
          <w:bCs/>
        </w:rPr>
        <w:t xml:space="preserve">检查时间</w:t>
      </w:r>
      <w:r>
        <w:t xml:space="preserve">：[具体日期与时间]</w:t>
      </w:r>
    </w:p>
    <w:p>
      <w:pPr>
        <w:pStyle w:val="text"/>
        <w:numPr>
          <w:ilvl w:val="1"/>
          <w:numId w:val="3"/>
        </w:numPr>
      </w:pPr>
      <w:r>
        <w:rPr>
          <w:b/>
          <w:bCs/>
        </w:rPr>
        <w:t xml:space="preserve">检查人员</w:t>
      </w:r>
      <w:r>
        <w:t xml:space="preserve">：[姓名 1]、[姓名 2]</w:t>
      </w:r>
    </w:p>
    <w:p>
      <w:pPr>
        <w:pStyle w:val="text"/>
        <w:numPr>
          <w:ilvl w:val="1"/>
          <w:numId w:val="3"/>
        </w:numPr>
      </w:pPr>
      <w:r>
        <w:rPr>
          <w:b/>
          <w:bCs/>
        </w:rPr>
        <w:t xml:space="preserve">检查情况</w:t>
      </w:r>
      <w:r>
        <w:t xml:space="preserve">：检查变压器外观，无破损、渗漏油现象。使用红外测温仪检测变压器表面温度，在正常范围内。查看运行参数记录，空载损耗和负载损耗数据符合节能评价值标准。</w:t>
      </w:r>
    </w:p>
    <w:p>
      <w:pPr>
        <w:pStyle w:val="text"/>
        <w:numPr>
          <w:ilvl w:val="1"/>
          <w:numId w:val="3"/>
        </w:numPr>
      </w:pPr>
      <w:r>
        <w:rPr>
          <w:b/>
          <w:bCs/>
        </w:rPr>
        <w:t xml:space="preserve">问题与处理</w:t>
      </w:r>
      <w:r>
        <w:t xml:space="preserve">：无异常情况。</w:t>
      </w:r>
    </w:p>
    <w:p>
      <w:pPr>
        <w:pStyle w:val="text"/>
        <w:numPr>
          <w:ilvl w:val="1"/>
          <w:numId w:val="3"/>
        </w:numPr>
      </w:pPr>
      <w:r>
        <w:rPr>
          <w:b/>
          <w:bCs/>
        </w:rPr>
        <w:t xml:space="preserve">分项计量关联</w:t>
      </w:r>
      <w:r>
        <w:t xml:space="preserve">：三相配电变压器节能性能稳定，可保证其在分项计量中的能耗数据真实反映节能效果，为能耗分析提供可靠依据。</w:t>
      </w:r>
    </w:p>
    <w:p>
      <w:pPr>
        <w:pStyle w:val="Heading3"/>
      </w:pPr>
      <w:r>
        <w:t xml:space="preserve">（三）水泵与风机</w:t>
      </w:r>
    </w:p>
    <w:p>
      <w:pPr>
        <w:pStyle w:val="text"/>
        <w:numPr>
          <w:ilvl w:val="0"/>
          <w:numId w:val="10"/>
        </w:numPr>
      </w:pPr>
      <w:r>
        <w:rPr>
          <w:b/>
          <w:bCs/>
        </w:rPr>
        <w:t xml:space="preserve">节能评价值检查</w:t>
      </w:r>
    </w:p>
    <w:p>
      <w:pPr>
        <w:pStyle w:val="text"/>
        <w:numPr>
          <w:ilvl w:val="1"/>
          <w:numId w:val="3"/>
        </w:numPr>
      </w:pPr>
      <w:r>
        <w:rPr>
          <w:b/>
          <w:bCs/>
        </w:rPr>
        <w:t xml:space="preserve">检查时间</w:t>
      </w:r>
      <w:r>
        <w:t xml:space="preserve">：[具体日期与时间]</w:t>
      </w:r>
    </w:p>
    <w:p>
      <w:pPr>
        <w:pStyle w:val="text"/>
        <w:numPr>
          <w:ilvl w:val="1"/>
          <w:numId w:val="3"/>
        </w:numPr>
      </w:pPr>
      <w:r>
        <w:rPr>
          <w:b/>
          <w:bCs/>
        </w:rPr>
        <w:t xml:space="preserve">检查人员</w:t>
      </w:r>
      <w:r>
        <w:t xml:space="preserve">：[姓名 1]、[姓名 2]</w:t>
      </w:r>
    </w:p>
    <w:p>
      <w:pPr>
        <w:pStyle w:val="text"/>
        <w:numPr>
          <w:ilvl w:val="1"/>
          <w:numId w:val="3"/>
        </w:numPr>
      </w:pPr>
      <w:r>
        <w:rPr>
          <w:b/>
          <w:bCs/>
        </w:rPr>
        <w:t xml:space="preserve">检查情况</w:t>
      </w:r>
      <w:r>
        <w:t xml:space="preserve">：现场观察水泵和风机运行状态，设备运行平稳，无异常振动与噪音。查看设备铭牌与检测报告，能效比等指标符合标准要求。</w:t>
      </w:r>
    </w:p>
    <w:p>
      <w:pPr>
        <w:pStyle w:val="text"/>
        <w:numPr>
          <w:ilvl w:val="1"/>
          <w:numId w:val="3"/>
        </w:numPr>
      </w:pPr>
      <w:r>
        <w:rPr>
          <w:b/>
          <w:bCs/>
        </w:rPr>
        <w:t xml:space="preserve">问题与处理</w:t>
      </w:r>
      <w:r>
        <w:t xml:space="preserve">：无异常情况。</w:t>
      </w:r>
    </w:p>
    <w:p>
      <w:pPr>
        <w:pStyle w:val="text"/>
        <w:numPr>
          <w:ilvl w:val="1"/>
          <w:numId w:val="3"/>
        </w:numPr>
      </w:pPr>
      <w:r>
        <w:rPr>
          <w:b/>
          <w:bCs/>
        </w:rPr>
        <w:t xml:space="preserve">分项计量关联</w:t>
      </w:r>
      <w:r>
        <w:t xml:space="preserve">：水泵与风机节能评价值达标，在分项计量中体现为能耗数据的合理降低，有利于准确掌握该设备的能耗情况，为节能管理提供有效数据。</w:t>
      </w:r>
    </w:p>
    <w:p>
      <w:pPr>
        <w:pStyle w:val="Heading2"/>
      </w:pPr>
      <w:r>
        <w:t xml:space="preserve">三、运行调试记录</w:t>
      </w:r>
    </w:p>
    <w:p>
      <w:pPr>
        <w:pStyle w:val="Heading3"/>
      </w:pPr>
      <w:r>
        <w:t xml:space="preserve">（一）照明系统</w:t>
      </w:r>
    </w:p>
    <w:p>
      <w:pPr>
        <w:pStyle w:val="text"/>
        <w:numPr>
          <w:ilvl w:val="0"/>
          <w:numId w:val="11"/>
        </w:numPr>
      </w:pPr>
      <w:r>
        <w:rPr>
          <w:b/>
          <w:bCs/>
        </w:rPr>
        <w:t xml:space="preserve">功率密度调试</w:t>
      </w:r>
    </w:p>
    <w:p>
      <w:pPr>
        <w:pStyle w:val="text"/>
        <w:numPr>
          <w:ilvl w:val="1"/>
          <w:numId w:val="3"/>
        </w:numPr>
      </w:pPr>
      <w:r>
        <w:rPr>
          <w:b/>
          <w:bCs/>
        </w:rPr>
        <w:t xml:space="preserve">调试时间</w:t>
      </w:r>
      <w:r>
        <w:t xml:space="preserve">：[具体日期与时间]</w:t>
      </w:r>
    </w:p>
    <w:p>
      <w:pPr>
        <w:pStyle w:val="text"/>
        <w:numPr>
          <w:ilvl w:val="1"/>
          <w:numId w:val="3"/>
        </w:numPr>
      </w:pPr>
      <w:r>
        <w:rPr>
          <w:b/>
          <w:bCs/>
        </w:rPr>
        <w:t xml:space="preserve">调试人员</w:t>
      </w:r>
      <w:r>
        <w:t xml:space="preserve">：[姓名 1]、[姓名 2]</w:t>
      </w:r>
    </w:p>
    <w:p>
      <w:pPr>
        <w:pStyle w:val="text"/>
        <w:numPr>
          <w:ilvl w:val="1"/>
          <w:numId w:val="3"/>
        </w:numPr>
      </w:pPr>
      <w:r>
        <w:rPr>
          <w:b/>
          <w:bCs/>
        </w:rPr>
        <w:t xml:space="preserve">调试过程</w:t>
      </w:r>
      <w:r>
        <w:t xml:space="preserve">：在照明系统安装完成后，对主要功能房间进行功率密度调试。根据房间面积与照明需求，对照明灯具的布置与选型进行优化，确保功率密度值达到标准要求。</w:t>
      </w:r>
    </w:p>
    <w:p>
      <w:pPr>
        <w:pStyle w:val="text"/>
        <w:numPr>
          <w:ilvl w:val="1"/>
          <w:numId w:val="3"/>
        </w:numPr>
      </w:pPr>
      <w:r>
        <w:rPr>
          <w:b/>
          <w:bCs/>
        </w:rPr>
        <w:t xml:space="preserve">调试结果</w:t>
      </w:r>
      <w:r>
        <w:t xml:space="preserve">：经过调试，所有主要功能房间的照明功率密度值均符合《建筑照明设计标准》GB 50034 规定的目标值。</w:t>
      </w:r>
    </w:p>
    <w:p>
      <w:pPr>
        <w:pStyle w:val="text"/>
        <w:numPr>
          <w:ilvl w:val="1"/>
          <w:numId w:val="3"/>
        </w:numPr>
      </w:pPr>
      <w:r>
        <w:rPr>
          <w:b/>
          <w:bCs/>
        </w:rPr>
        <w:t xml:space="preserve">分项计量关联</w:t>
      </w:r>
      <w:r>
        <w:t xml:space="preserve">：准确调试照明功率密度，可使照明分项能耗计量数据真实反映实际能耗情况，为能耗分析与节能管理提供准确数据基础。</w:t>
      </w:r>
    </w:p>
    <w:p>
      <w:pPr>
        <w:pStyle w:val="text"/>
        <w:numPr>
          <w:ilvl w:val="0"/>
          <w:numId w:val="12"/>
        </w:numPr>
      </w:pPr>
      <w:r>
        <w:rPr>
          <w:b/>
          <w:bCs/>
        </w:rPr>
        <w:t xml:space="preserve">采光区域智能调光调试</w:t>
      </w:r>
    </w:p>
    <w:p>
      <w:pPr>
        <w:pStyle w:val="text"/>
        <w:numPr>
          <w:ilvl w:val="1"/>
          <w:numId w:val="3"/>
        </w:numPr>
      </w:pPr>
      <w:r>
        <w:rPr>
          <w:b/>
          <w:bCs/>
        </w:rPr>
        <w:t xml:space="preserve">调试时间</w:t>
      </w:r>
      <w:r>
        <w:t xml:space="preserve">：[具体日期与时间]</w:t>
      </w:r>
    </w:p>
    <w:p>
      <w:pPr>
        <w:pStyle w:val="text"/>
        <w:numPr>
          <w:ilvl w:val="1"/>
          <w:numId w:val="3"/>
        </w:numPr>
      </w:pPr>
      <w:r>
        <w:rPr>
          <w:b/>
          <w:bCs/>
        </w:rPr>
        <w:t xml:space="preserve">调试人员</w:t>
      </w:r>
      <w:r>
        <w:t xml:space="preserve">：[姓名 1]、[姓名 2]</w:t>
      </w:r>
    </w:p>
    <w:p>
      <w:pPr>
        <w:pStyle w:val="text"/>
        <w:numPr>
          <w:ilvl w:val="1"/>
          <w:numId w:val="3"/>
        </w:numPr>
      </w:pPr>
      <w:r>
        <w:rPr>
          <w:b/>
          <w:bCs/>
        </w:rPr>
        <w:t xml:space="preserve">调试过程</w:t>
      </w:r>
      <w:r>
        <w:t xml:space="preserve">：安装光线感应装置后，进行智能调光系统调试。在不同时段、不同光照条件下，对光线感应装置的灵敏度与灯具调节逻辑进行测试与优化。</w:t>
      </w:r>
    </w:p>
    <w:p>
      <w:pPr>
        <w:pStyle w:val="text"/>
        <w:numPr>
          <w:ilvl w:val="1"/>
          <w:numId w:val="3"/>
        </w:numPr>
      </w:pPr>
      <w:r>
        <w:rPr>
          <w:b/>
          <w:bCs/>
        </w:rPr>
        <w:t xml:space="preserve">调试结果</w:t>
      </w:r>
      <w:r>
        <w:t xml:space="preserve">：智能调光系统运行正常，采光区域照明灯具能够根据天然光照度变化准确、迅速地调节亮度。</w:t>
      </w:r>
    </w:p>
    <w:p>
      <w:pPr>
        <w:pStyle w:val="text"/>
        <w:numPr>
          <w:ilvl w:val="1"/>
          <w:numId w:val="3"/>
        </w:numPr>
      </w:pPr>
      <w:r>
        <w:rPr>
          <w:b/>
          <w:bCs/>
        </w:rPr>
        <w:t xml:space="preserve">分项计量关联</w:t>
      </w:r>
      <w:r>
        <w:t xml:space="preserve">：采光区域智能调光系统调试成功，可实现照明能耗的精准控制与计量。通过分项计量系统，可清晰记录不同光照条件下的照明能耗变化，为节能分析提供详细数据。</w:t>
      </w:r>
    </w:p>
    <w:p>
      <w:pPr>
        <w:pStyle w:val="Heading3"/>
      </w:pPr>
      <w:r>
        <w:t xml:space="preserve">（二）三相配电变压器</w:t>
      </w:r>
    </w:p>
    <w:p>
      <w:pPr>
        <w:pStyle w:val="text"/>
        <w:numPr>
          <w:ilvl w:val="0"/>
          <w:numId w:val="13"/>
        </w:numPr>
      </w:pPr>
      <w:r>
        <w:rPr>
          <w:b/>
          <w:bCs/>
        </w:rPr>
        <w:t xml:space="preserve">节能性能调试</w:t>
      </w:r>
    </w:p>
    <w:p>
      <w:pPr>
        <w:pStyle w:val="text"/>
        <w:numPr>
          <w:ilvl w:val="1"/>
          <w:numId w:val="3"/>
        </w:numPr>
      </w:pPr>
      <w:r>
        <w:rPr>
          <w:b/>
          <w:bCs/>
        </w:rPr>
        <w:t xml:space="preserve">调试时间</w:t>
      </w:r>
      <w:r>
        <w:t xml:space="preserve">：[具体日期与时间]</w:t>
      </w:r>
    </w:p>
    <w:p>
      <w:pPr>
        <w:pStyle w:val="text"/>
        <w:numPr>
          <w:ilvl w:val="1"/>
          <w:numId w:val="3"/>
        </w:numPr>
      </w:pPr>
      <w:r>
        <w:rPr>
          <w:b/>
          <w:bCs/>
        </w:rPr>
        <w:t xml:space="preserve">调试人员</w:t>
      </w:r>
      <w:r>
        <w:t xml:space="preserve">：[姓名 1]、[姓名 2]</w:t>
      </w:r>
    </w:p>
    <w:p>
      <w:pPr>
        <w:pStyle w:val="text"/>
        <w:numPr>
          <w:ilvl w:val="1"/>
          <w:numId w:val="3"/>
        </w:numPr>
      </w:pPr>
      <w:r>
        <w:rPr>
          <w:b/>
          <w:bCs/>
        </w:rPr>
        <w:t xml:space="preserve">调试过程</w:t>
      </w:r>
      <w:r>
        <w:t xml:space="preserve">：在变压器安装完成后，进行空载与负载调试。通过调整变压器的分接开关等参数，优化变压器的运行性能，降低空载损耗和负载损耗。</w:t>
      </w:r>
    </w:p>
    <w:p>
      <w:pPr>
        <w:pStyle w:val="text"/>
        <w:numPr>
          <w:ilvl w:val="1"/>
          <w:numId w:val="3"/>
        </w:numPr>
      </w:pPr>
      <w:r>
        <w:rPr>
          <w:b/>
          <w:bCs/>
        </w:rPr>
        <w:t xml:space="preserve">调试结果</w:t>
      </w:r>
      <w:r>
        <w:t xml:space="preserve">：经过调试，三相配电变压器的空载损耗和负载损耗等指标均满足国家现行有关标准的节能评价值要求。</w:t>
      </w:r>
    </w:p>
    <w:p>
      <w:pPr>
        <w:pStyle w:val="text"/>
        <w:numPr>
          <w:ilvl w:val="1"/>
          <w:numId w:val="3"/>
        </w:numPr>
      </w:pPr>
      <w:r>
        <w:rPr>
          <w:b/>
          <w:bCs/>
        </w:rPr>
        <w:t xml:space="preserve">分项计量关联</w:t>
      </w:r>
      <w:r>
        <w:t xml:space="preserve">：三相配电变压器节能性能调试达标，可保证其在运行过程中的能耗数据真实反映节能效果，在分项计量中为能耗分析提供可靠依据。</w:t>
      </w:r>
    </w:p>
    <w:p>
      <w:pPr>
        <w:pStyle w:val="Heading3"/>
      </w:pPr>
      <w:r>
        <w:t xml:space="preserve">（三）水泵与风机</w:t>
      </w:r>
    </w:p>
    <w:p>
      <w:pPr>
        <w:pStyle w:val="text"/>
        <w:numPr>
          <w:ilvl w:val="0"/>
          <w:numId w:val="14"/>
        </w:numPr>
      </w:pPr>
      <w:r>
        <w:rPr>
          <w:b/>
          <w:bCs/>
        </w:rPr>
        <w:t xml:space="preserve">节能评价值调试</w:t>
      </w:r>
    </w:p>
    <w:p>
      <w:pPr>
        <w:pStyle w:val="text"/>
        <w:numPr>
          <w:ilvl w:val="1"/>
          <w:numId w:val="3"/>
        </w:numPr>
      </w:pPr>
      <w:r>
        <w:rPr>
          <w:b/>
          <w:bCs/>
        </w:rPr>
        <w:t xml:space="preserve">调试时间</w:t>
      </w:r>
      <w:r>
        <w:t xml:space="preserve">：[具体日期与时间]</w:t>
      </w:r>
    </w:p>
    <w:p>
      <w:pPr>
        <w:pStyle w:val="text"/>
        <w:numPr>
          <w:ilvl w:val="1"/>
          <w:numId w:val="3"/>
        </w:numPr>
      </w:pPr>
      <w:r>
        <w:rPr>
          <w:b/>
          <w:bCs/>
        </w:rPr>
        <w:t xml:space="preserve">调试人员</w:t>
      </w:r>
      <w:r>
        <w:t xml:space="preserve">：[姓名 1]、[姓名 2]</w:t>
      </w:r>
    </w:p>
    <w:p>
      <w:pPr>
        <w:pStyle w:val="text"/>
        <w:numPr>
          <w:ilvl w:val="1"/>
          <w:numId w:val="3"/>
        </w:numPr>
      </w:pPr>
      <w:r>
        <w:rPr>
          <w:b/>
          <w:bCs/>
        </w:rPr>
        <w:t xml:space="preserve">调试过程</w:t>
      </w:r>
      <w:r>
        <w:t xml:space="preserve">：对水泵和风机进行试运行调试，通过调整叶轮角度、电机转速等参数，优化设备的能效比。</w:t>
      </w:r>
    </w:p>
    <w:p>
      <w:pPr>
        <w:pStyle w:val="text"/>
        <w:numPr>
          <w:ilvl w:val="1"/>
          <w:numId w:val="3"/>
        </w:numPr>
      </w:pPr>
      <w:r>
        <w:rPr>
          <w:b/>
          <w:bCs/>
        </w:rPr>
        <w:t xml:space="preserve">调试结果</w:t>
      </w:r>
      <w:r>
        <w:t xml:space="preserve">：调试后，水泵和风机的能效比符合国家现行有关标准的节能评价值要求，设备运行稳定。</w:t>
      </w:r>
    </w:p>
    <w:p>
      <w:pPr>
        <w:pStyle w:val="text"/>
        <w:numPr>
          <w:ilvl w:val="1"/>
          <w:numId w:val="3"/>
        </w:numPr>
      </w:pPr>
      <w:r>
        <w:rPr>
          <w:b/>
          <w:bCs/>
        </w:rPr>
        <w:t xml:space="preserve">分项计量关联</w:t>
      </w:r>
      <w:r>
        <w:t xml:space="preserve">：水泵与风机节能评价值调试成功，在分项计量中可准确反映设备的能耗情况，为能耗管理与节能改造提供数据支持。</w:t>
      </w:r>
    </w:p>
    <w:p>
      <w:pPr>
        <w:pStyle w:val="text"/>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2025-03-11T07:15:42.107Z</dcterms:created>
  <dcterms:modified xsi:type="dcterms:W3CDTF">2025-03-11T07:15:42.107Z</dcterms:modified>
</cp:coreProperties>
</file>

<file path=docProps/custom.xml><?xml version="1.0" encoding="utf-8"?>
<Properties xmlns="http://schemas.openxmlformats.org/officeDocument/2006/custom-properties" xmlns:vt="http://schemas.openxmlformats.org/officeDocument/2006/docPropsVTypes"/>
</file>